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4823" w14:textId="2183F494" w:rsidR="0007405E" w:rsidRPr="00BE7BD0" w:rsidRDefault="0007405E" w:rsidP="0007405E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#120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896CFE" w:rsidRPr="00896CFE">
        <w:rPr>
          <w:b/>
          <w:bCs/>
          <w:noProof/>
          <w:sz w:val="24"/>
          <w:lang w:val="en-US"/>
        </w:rPr>
        <w:t>2500775</w:t>
      </w:r>
      <w:r>
        <w:rPr>
          <w:b/>
          <w:i/>
          <w:noProof/>
          <w:sz w:val="28"/>
        </w:rPr>
        <w:tab/>
      </w:r>
    </w:p>
    <w:p w14:paraId="021A468D" w14:textId="77777777" w:rsidR="0007405E" w:rsidRPr="009E56BE" w:rsidRDefault="0007405E" w:rsidP="0007405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 xml:space="preserve">Athens, Greece, 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>February 17</w:t>
      </w:r>
      <w:r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21</w:t>
      </w:r>
      <w:r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st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2EBA4D6E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00BEE99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103E1">
        <w:rPr>
          <w:sz w:val="22"/>
          <w:szCs w:val="22"/>
        </w:rPr>
        <w:t>Discussion</w:t>
      </w:r>
      <w:r w:rsidR="00050F90" w:rsidRPr="00050F90">
        <w:rPr>
          <w:sz w:val="22"/>
          <w:szCs w:val="22"/>
        </w:rPr>
        <w:t xml:space="preserve"> on SBFD TX/RX/measurement procedures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635938D6" w14:textId="310EEEE6" w:rsidR="005400CC" w:rsidRDefault="002900FA" w:rsidP="008D5DC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 w:rsidR="008D5DCF">
        <w:rPr>
          <w:sz w:val="20"/>
          <w:szCs w:val="20"/>
          <w:lang w:val="en-GB"/>
        </w:rPr>
        <w:t>#102</w:t>
      </w:r>
      <w:r w:rsidR="004C6667">
        <w:rPr>
          <w:sz w:val="20"/>
          <w:szCs w:val="20"/>
          <w:lang w:val="en-GB"/>
        </w:rPr>
        <w:t xml:space="preserve">, </w:t>
      </w:r>
      <w:r w:rsidR="008D5DCF">
        <w:rPr>
          <w:sz w:val="20"/>
          <w:szCs w:val="20"/>
          <w:lang w:val="en-GB"/>
        </w:rPr>
        <w:t xml:space="preserve">a new work item was endorsed in </w:t>
      </w:r>
      <w:r w:rsidR="008D5DCF" w:rsidRPr="008D5DCF">
        <w:rPr>
          <w:bCs/>
          <w:sz w:val="20"/>
          <w:szCs w:val="20"/>
          <w:lang w:val="en-GB"/>
        </w:rPr>
        <w:t>RP-</w:t>
      </w:r>
      <w:r w:rsidR="004A1F65" w:rsidRPr="004A1F65">
        <w:t xml:space="preserve"> </w:t>
      </w:r>
      <w:r w:rsidR="004A1F65" w:rsidRPr="004A1F65">
        <w:rPr>
          <w:bCs/>
          <w:sz w:val="20"/>
          <w:szCs w:val="20"/>
          <w:lang w:val="en-GB"/>
        </w:rPr>
        <w:t>234035</w:t>
      </w:r>
      <w:r w:rsidR="008D5DCF">
        <w:rPr>
          <w:sz w:val="20"/>
          <w:szCs w:val="20"/>
          <w:lang w:val="en-GB"/>
        </w:rPr>
        <w:t>,</w:t>
      </w:r>
      <w:r w:rsidR="008C4D3E">
        <w:rPr>
          <w:sz w:val="20"/>
          <w:szCs w:val="20"/>
          <w:lang w:val="en-GB"/>
        </w:rPr>
        <w:t xml:space="preserve"> later revised in </w:t>
      </w:r>
      <w:r w:rsidR="008C4D3E" w:rsidRPr="008C4D3E">
        <w:rPr>
          <w:bCs/>
          <w:sz w:val="20"/>
          <w:szCs w:val="20"/>
          <w:lang w:val="en-GB"/>
        </w:rPr>
        <w:t>RP-241614</w:t>
      </w:r>
      <w:r w:rsidR="008C4D3E">
        <w:rPr>
          <w:b/>
          <w:sz w:val="20"/>
          <w:szCs w:val="20"/>
          <w:lang w:val="en-GB"/>
        </w:rPr>
        <w:t>,</w:t>
      </w:r>
      <w:r w:rsidR="008D5DCF" w:rsidRPr="008D5DCF">
        <w:rPr>
          <w:sz w:val="20"/>
          <w:szCs w:val="20"/>
          <w:lang w:val="en-GB"/>
        </w:rPr>
        <w:t xml:space="preserve"> </w:t>
      </w:r>
      <w:r w:rsidR="008D5DCF">
        <w:rPr>
          <w:sz w:val="20"/>
          <w:szCs w:val="20"/>
          <w:lang w:val="en-GB"/>
        </w:rPr>
        <w:t xml:space="preserve">to specify </w:t>
      </w:r>
      <w:r w:rsidR="004A1F65" w:rsidRPr="004A1F65">
        <w:rPr>
          <w:sz w:val="20"/>
          <w:szCs w:val="20"/>
          <w:lang w:val="en-GB"/>
        </w:rPr>
        <w:t>Evolution of NR duplex operation: Sub-band full duplex (SBFD)</w:t>
      </w:r>
      <w:r w:rsidR="004A1F65">
        <w:rPr>
          <w:sz w:val="20"/>
          <w:szCs w:val="20"/>
          <w:lang w:val="en-GB"/>
        </w:rPr>
        <w:t xml:space="preserve"> </w:t>
      </w:r>
      <w:r w:rsidR="008D5DCF">
        <w:rPr>
          <w:bCs/>
          <w:sz w:val="20"/>
          <w:szCs w:val="20"/>
          <w:lang w:val="en-GB"/>
        </w:rPr>
        <w:t xml:space="preserve">in </w:t>
      </w:r>
      <w:r w:rsidR="008D5DCF">
        <w:rPr>
          <w:sz w:val="20"/>
          <w:szCs w:val="20"/>
          <w:lang w:val="en-GB"/>
        </w:rPr>
        <w:t>Rel-19</w:t>
      </w:r>
      <w:r w:rsidR="008D5DCF" w:rsidRPr="00AE28BA">
        <w:rPr>
          <w:bCs/>
          <w:sz w:val="20"/>
          <w:szCs w:val="20"/>
          <w:lang w:val="en-GB"/>
        </w:rPr>
        <w:t>, where one of the objectives is</w:t>
      </w:r>
      <w:r w:rsidR="00AE28BA" w:rsidRPr="00AE28BA">
        <w:rPr>
          <w:bCs/>
          <w:sz w:val="20"/>
          <w:szCs w:val="20"/>
          <w:lang w:val="en-GB"/>
        </w:rPr>
        <w:t xml:space="preserve"> related </w:t>
      </w:r>
      <w:r w:rsidR="004A1F65">
        <w:rPr>
          <w:bCs/>
          <w:sz w:val="20"/>
          <w:szCs w:val="20"/>
          <w:lang w:val="en-GB"/>
        </w:rPr>
        <w:t>SBFD TX/RX/measurement procedures</w:t>
      </w:r>
      <w:r w:rsidR="00AE28BA" w:rsidRPr="00AE28BA">
        <w:rPr>
          <w:bCs/>
          <w:sz w:val="20"/>
          <w:szCs w:val="20"/>
          <w:lang w:val="en-GB"/>
        </w:rPr>
        <w:t xml:space="preserve"> as follows</w:t>
      </w:r>
      <w:r w:rsidR="004A1F65">
        <w:rPr>
          <w:bCs/>
          <w:sz w:val="20"/>
          <w:szCs w:val="20"/>
          <w:lang w:val="en-GB"/>
        </w:rPr>
        <w:t xml:space="preserve"> (with some arrangements)</w:t>
      </w:r>
      <w:r w:rsidR="00AE28BA">
        <w:rPr>
          <w:bCs/>
          <w:sz w:val="20"/>
          <w:szCs w:val="20"/>
          <w:lang w:val="en-GB"/>
        </w:rPr>
        <w:t>:</w:t>
      </w:r>
      <w:r w:rsidR="008D5DCF"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681E80" w14:paraId="50B7C60F" w14:textId="77777777" w:rsidTr="004E2662">
        <w:tc>
          <w:tcPr>
            <w:tcW w:w="9288" w:type="dxa"/>
          </w:tcPr>
          <w:p w14:paraId="0DE7BA3C" w14:textId="77777777" w:rsidR="008C4D3E" w:rsidRPr="008C4D3E" w:rsidRDefault="008C4D3E" w:rsidP="008C4D3E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non-overlapping full duplex (SBFD) operation at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side within a TDD carrier:</w:t>
            </w:r>
          </w:p>
          <w:p w14:paraId="0DE05269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time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71C64BFA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Indication of time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5F5D9ABF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25068501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Indication of frequency domain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06293542" w14:textId="77777777" w:rsidR="008C4D3E" w:rsidRPr="008C4D3E" w:rsidRDefault="008C4D3E" w:rsidP="008C4D3E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8C4D3E">
              <w:rPr>
                <w:sz w:val="20"/>
                <w:szCs w:val="20"/>
              </w:rPr>
              <w:t>Specify SBFD operation to support random access in SBFD symbols by UEs in RRC_CONNECTED mode and RRC_IDLE/INACTIVE mode [RAN1, RAN2]</w:t>
            </w:r>
          </w:p>
          <w:p w14:paraId="75ECD9CC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bookmarkStart w:id="0" w:name="_Hlk153407590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0"/>
          <w:p w14:paraId="1A6C697D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behaviours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on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configured in DL and/or flexible symbol indicated by </w:t>
            </w:r>
            <w:r w:rsidRPr="008C4D3E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</w:t>
            </w:r>
            <w:proofErr w:type="spellStart"/>
            <w:r w:rsidRPr="008C4D3E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ConfigCommon</w:t>
            </w:r>
            <w:proofErr w:type="spellEnd"/>
          </w:p>
          <w:p w14:paraId="4C1795FC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UL transmissions within UL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only</w:t>
            </w:r>
          </w:p>
          <w:p w14:paraId="3FE1B984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DL receptions within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</w:p>
          <w:p w14:paraId="5196D60B" w14:textId="77777777" w:rsidR="008C4D3E" w:rsidRPr="008C4D3E" w:rsidRDefault="008C4D3E" w:rsidP="008C4D3E">
            <w:pPr>
              <w:spacing w:after="160" w:line="256" w:lineRule="auto"/>
              <w:ind w:left="2520"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C4D3E">
              <w:rPr>
                <w:sz w:val="20"/>
                <w:szCs w:val="20"/>
              </w:rPr>
              <w:t>When flexible symbols are used, it is not expected that any legacy Uplink symbol is converted to Downlink/SBFD symbols</w:t>
            </w:r>
          </w:p>
          <w:p w14:paraId="229E3CB7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2B8BEE5B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SBFD symbols</w:t>
            </w:r>
          </w:p>
          <w:p w14:paraId="3243E38A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handling of unaligned boundaries between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(s) and RBG, CSI reporting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>, CSI-RS resource, PRG</w:t>
            </w:r>
          </w:p>
          <w:p w14:paraId="717CEDBC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60B945DF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resource allocation in frequency domain for transmission or reception in SBFD symbols and non-SBFD symbols with different available frequency resource in different slots</w:t>
            </w:r>
          </w:p>
          <w:p w14:paraId="3EBA7087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117BAFD5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1C0396AA" w14:textId="4ECC1492" w:rsidR="00681E80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Collision handling between DL reception in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(s) and UL transmission in UL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a SBFD symbol</w:t>
            </w:r>
          </w:p>
        </w:tc>
      </w:tr>
    </w:tbl>
    <w:p w14:paraId="7C63133A" w14:textId="77777777" w:rsidR="00681E80" w:rsidRPr="005400CC" w:rsidRDefault="00681E80" w:rsidP="005400CC">
      <w:pPr>
        <w:rPr>
          <w:b/>
          <w:bCs/>
          <w:sz w:val="20"/>
          <w:szCs w:val="20"/>
        </w:rPr>
      </w:pPr>
    </w:p>
    <w:p w14:paraId="19C097A9" w14:textId="42CEC1D7" w:rsidR="009F04BB" w:rsidRDefault="00AE28BA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 w:rsidR="00C75486">
        <w:rPr>
          <w:sz w:val="20"/>
          <w:szCs w:val="20"/>
          <w:lang w:val="en-GB"/>
        </w:rPr>
        <w:t xml:space="preserve">n this contribution, we share our views on </w:t>
      </w:r>
      <w:r w:rsidR="00681E80">
        <w:rPr>
          <w:sz w:val="20"/>
          <w:szCs w:val="20"/>
          <w:lang w:val="en-GB"/>
        </w:rPr>
        <w:t xml:space="preserve">objectives related to </w:t>
      </w:r>
      <w:r w:rsidR="00681E80">
        <w:rPr>
          <w:bCs/>
          <w:sz w:val="20"/>
          <w:szCs w:val="20"/>
          <w:lang w:val="en-GB"/>
        </w:rPr>
        <w:t>SBFD TX/RX/measurement procedures.</w:t>
      </w:r>
      <w:r w:rsidR="00681E80">
        <w:rPr>
          <w:sz w:val="20"/>
          <w:szCs w:val="20"/>
          <w:lang w:val="en-GB"/>
        </w:rPr>
        <w:t xml:space="preserve"> </w:t>
      </w:r>
      <w:r w:rsidR="009F04BB">
        <w:rPr>
          <w:sz w:val="20"/>
          <w:szCs w:val="20"/>
          <w:lang w:val="en-GB"/>
        </w:rPr>
        <w:t xml:space="preserve">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409BEA64" w14:textId="3A22D960" w:rsidR="007E5BE2" w:rsidRDefault="007E5BE2" w:rsidP="00A90AB8">
      <w:pPr>
        <w:pStyle w:val="Heading1"/>
      </w:pPr>
      <w:r>
        <w:t xml:space="preserve">Enhancements for SBFD operation at </w:t>
      </w:r>
      <w:proofErr w:type="spellStart"/>
      <w:r>
        <w:t>gNB</w:t>
      </w:r>
      <w:proofErr w:type="spellEnd"/>
      <w:r>
        <w:t xml:space="preserve"> </w:t>
      </w:r>
    </w:p>
    <w:p w14:paraId="37F86CEC" w14:textId="0124DEF1" w:rsidR="003D57C8" w:rsidRPr="00071425" w:rsidRDefault="00A90AB8" w:rsidP="00071425">
      <w:pPr>
        <w:pStyle w:val="Heading2"/>
      </w:pPr>
      <w:r>
        <w:t>Indication of t</w:t>
      </w:r>
      <w:r w:rsidRPr="00A90AB8">
        <w:t>ime</w:t>
      </w:r>
      <w:r>
        <w:t>/frequency</w:t>
      </w:r>
      <w:r w:rsidRPr="00A90AB8">
        <w:t xml:space="preserve"> location of SBFD </w:t>
      </w:r>
      <w:proofErr w:type="spellStart"/>
      <w:r w:rsidRPr="00A90AB8">
        <w:t>subbands</w:t>
      </w:r>
      <w:proofErr w:type="spellEnd"/>
    </w:p>
    <w:p w14:paraId="6E4722E0" w14:textId="76E366B6" w:rsidR="00071425" w:rsidRPr="006E1A07" w:rsidRDefault="00F7124C" w:rsidP="00A40114">
      <w:pPr>
        <w:jc w:val="both"/>
        <w:rPr>
          <w:rFonts w:eastAsia="Malgun Gothic"/>
          <w:sz w:val="20"/>
          <w:szCs w:val="20"/>
        </w:rPr>
      </w:pPr>
      <w:r>
        <w:rPr>
          <w:sz w:val="20"/>
          <w:szCs w:val="20"/>
        </w:rPr>
        <w:t>A SBFD</w:t>
      </w:r>
      <w:r w:rsidR="00AD7FF0">
        <w:rPr>
          <w:sz w:val="20"/>
          <w:szCs w:val="20"/>
        </w:rPr>
        <w:t>-</w:t>
      </w:r>
      <w:r>
        <w:rPr>
          <w:sz w:val="20"/>
          <w:szCs w:val="20"/>
        </w:rPr>
        <w:t xml:space="preserve">aware UE </w:t>
      </w:r>
      <w:r w:rsidR="00AD7FF0">
        <w:rPr>
          <w:sz w:val="20"/>
          <w:szCs w:val="20"/>
        </w:rPr>
        <w:t xml:space="preserve">does not necessarily </w:t>
      </w:r>
      <w:r w:rsidR="00A40114" w:rsidRPr="00A40114">
        <w:rPr>
          <w:sz w:val="20"/>
          <w:szCs w:val="20"/>
        </w:rPr>
        <w:t xml:space="preserve">support </w:t>
      </w:r>
      <w:r w:rsidR="006E1A07">
        <w:rPr>
          <w:sz w:val="20"/>
          <w:szCs w:val="20"/>
        </w:rPr>
        <w:t xml:space="preserve">being scheduled </w:t>
      </w:r>
      <w:r w:rsidR="00AD7FF0">
        <w:rPr>
          <w:sz w:val="20"/>
          <w:szCs w:val="20"/>
        </w:rPr>
        <w:t xml:space="preserve">in DL </w:t>
      </w:r>
      <w:r w:rsidR="006E1A07">
        <w:rPr>
          <w:sz w:val="20"/>
          <w:szCs w:val="20"/>
        </w:rPr>
        <w:t xml:space="preserve">across </w:t>
      </w:r>
      <w:r w:rsidR="00A40114" w:rsidRPr="00A40114">
        <w:rPr>
          <w:sz w:val="20"/>
          <w:szCs w:val="20"/>
        </w:rPr>
        <w:t>both DL sub-bands</w:t>
      </w:r>
      <w:r w:rsidR="00AD7FF0">
        <w:rPr>
          <w:sz w:val="20"/>
          <w:szCs w:val="20"/>
        </w:rPr>
        <w:t>. N</w:t>
      </w:r>
      <w:r>
        <w:rPr>
          <w:sz w:val="20"/>
          <w:szCs w:val="20"/>
        </w:rPr>
        <w:t xml:space="preserve">one of previous RAN1 agreements mandate UE to support reception across both DL sub-bands. </w:t>
      </w:r>
      <w:r w:rsidR="008B463F">
        <w:rPr>
          <w:sz w:val="20"/>
          <w:szCs w:val="20"/>
        </w:rPr>
        <w:t>In fact, s</w:t>
      </w:r>
      <w:r w:rsidR="005166ED">
        <w:rPr>
          <w:sz w:val="20"/>
          <w:szCs w:val="20"/>
        </w:rPr>
        <w:t>ome</w:t>
      </w:r>
      <w:r w:rsidR="00A40114">
        <w:rPr>
          <w:sz w:val="20"/>
          <w:szCs w:val="20"/>
        </w:rPr>
        <w:t xml:space="preserve"> UE </w:t>
      </w:r>
      <w:r w:rsidR="005166ED">
        <w:rPr>
          <w:sz w:val="20"/>
          <w:szCs w:val="20"/>
        </w:rPr>
        <w:t>implementations</w:t>
      </w:r>
      <w:r w:rsidR="00A40114">
        <w:rPr>
          <w:sz w:val="20"/>
          <w:szCs w:val="20"/>
        </w:rPr>
        <w:t xml:space="preserve"> may prefer to be scheduled in only </w:t>
      </w:r>
      <w:r w:rsidR="005166ED">
        <w:rPr>
          <w:sz w:val="20"/>
          <w:szCs w:val="20"/>
        </w:rPr>
        <w:t xml:space="preserve">one </w:t>
      </w:r>
      <w:r w:rsidR="00A40114">
        <w:rPr>
          <w:sz w:val="20"/>
          <w:szCs w:val="20"/>
        </w:rPr>
        <w:t>of the DL sub-bands in SBFD slots/symbols</w:t>
      </w:r>
      <w:r w:rsidR="005166ED">
        <w:rPr>
          <w:sz w:val="20"/>
          <w:szCs w:val="20"/>
        </w:rPr>
        <w:t xml:space="preserve">. </w:t>
      </w:r>
      <w:r w:rsidR="002C52C0">
        <w:rPr>
          <w:sz w:val="20"/>
          <w:szCs w:val="20"/>
        </w:rPr>
        <w:t>Some other UEs may not be able to cancel CLI in SBFD slot, and thus indicate to be scheduled only in UL</w:t>
      </w:r>
      <w:r w:rsidR="00AD7FF0">
        <w:rPr>
          <w:sz w:val="20"/>
          <w:szCs w:val="20"/>
        </w:rPr>
        <w:t xml:space="preserve"> within SBFD slots</w:t>
      </w:r>
      <w:r w:rsidR="002C52C0">
        <w:rPr>
          <w:sz w:val="20"/>
          <w:szCs w:val="20"/>
        </w:rPr>
        <w:t>. In general, different SBFD-aware UEs can be defined as follows:</w:t>
      </w:r>
    </w:p>
    <w:p w14:paraId="57AAB696" w14:textId="77777777" w:rsidR="00071425" w:rsidRDefault="00071425" w:rsidP="00A40114">
      <w:pPr>
        <w:jc w:val="both"/>
        <w:rPr>
          <w:sz w:val="20"/>
          <w:szCs w:val="20"/>
        </w:rPr>
      </w:pPr>
    </w:p>
    <w:p w14:paraId="0067911E" w14:textId="63CCC737" w:rsidR="00AF2265" w:rsidRDefault="00AF2265" w:rsidP="00AF2265">
      <w:pPr>
        <w:jc w:val="both"/>
        <w:rPr>
          <w:sz w:val="20"/>
          <w:szCs w:val="20"/>
        </w:rPr>
      </w:pPr>
      <w:r w:rsidRPr="00545AC1">
        <w:rPr>
          <w:b/>
          <w:bCs/>
          <w:sz w:val="20"/>
          <w:szCs w:val="20"/>
        </w:rPr>
        <w:t xml:space="preserve">Proposal </w:t>
      </w:r>
      <w:r w:rsidR="002C52C0">
        <w:rPr>
          <w:b/>
          <w:bCs/>
          <w:sz w:val="20"/>
          <w:szCs w:val="20"/>
        </w:rPr>
        <w:t>1</w:t>
      </w:r>
      <w:r w:rsidRPr="00545AC1">
        <w:rPr>
          <w:sz w:val="20"/>
          <w:szCs w:val="20"/>
        </w:rPr>
        <w:t xml:space="preserve">: a SBFD-aware UE </w:t>
      </w:r>
      <w:r>
        <w:rPr>
          <w:sz w:val="20"/>
          <w:szCs w:val="20"/>
        </w:rPr>
        <w:t>can exist subject to different</w:t>
      </w:r>
      <w:r w:rsidRPr="00545AC1">
        <w:rPr>
          <w:sz w:val="20"/>
          <w:szCs w:val="20"/>
        </w:rPr>
        <w:t xml:space="preserve"> UE capabilities</w:t>
      </w:r>
    </w:p>
    <w:p w14:paraId="2036EC7D" w14:textId="13F06346" w:rsidR="00AF2265" w:rsidRPr="002C52C0" w:rsidRDefault="00AF2265" w:rsidP="00AF2265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Cap1</w:t>
      </w:r>
      <w:r w:rsidRPr="002C52C0">
        <w:rPr>
          <w:rFonts w:ascii="Times New Roman" w:hAnsi="Times New Roman"/>
          <w:szCs w:val="20"/>
        </w:rPr>
        <w:t>: Support being scheduled in SBFD symbol in UL sub-band only</w:t>
      </w:r>
      <w:r w:rsidR="002C52C0">
        <w:rPr>
          <w:rFonts w:ascii="Times New Roman" w:hAnsi="Times New Roman"/>
          <w:szCs w:val="20"/>
        </w:rPr>
        <w:t xml:space="preserve"> </w:t>
      </w:r>
    </w:p>
    <w:p w14:paraId="761B40EA" w14:textId="3825BA31" w:rsidR="00AF2265" w:rsidRPr="002C52C0" w:rsidRDefault="00AF2265" w:rsidP="00AF2265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Cap2</w:t>
      </w:r>
      <w:r w:rsidRPr="002C52C0">
        <w:rPr>
          <w:rFonts w:ascii="Times New Roman" w:hAnsi="Times New Roman"/>
          <w:szCs w:val="20"/>
        </w:rPr>
        <w:t xml:space="preserve">: Support being scheduled in SBFD symbol in UL sub-band </w:t>
      </w:r>
      <w:r w:rsidR="00756783">
        <w:rPr>
          <w:rFonts w:ascii="Times New Roman" w:hAnsi="Times New Roman"/>
          <w:szCs w:val="20"/>
        </w:rPr>
        <w:t>or</w:t>
      </w:r>
      <w:r w:rsidRPr="002C52C0">
        <w:rPr>
          <w:rFonts w:ascii="Times New Roman" w:hAnsi="Times New Roman"/>
          <w:szCs w:val="20"/>
        </w:rPr>
        <w:t xml:space="preserve"> in only one of the DL sub-bands</w:t>
      </w:r>
    </w:p>
    <w:p w14:paraId="0E964081" w14:textId="29C8470F" w:rsidR="00AF2265" w:rsidRPr="002C52C0" w:rsidRDefault="00AF2265" w:rsidP="00AF2265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Cap3</w:t>
      </w:r>
      <w:r w:rsidRPr="002C52C0">
        <w:rPr>
          <w:rFonts w:ascii="Times New Roman" w:hAnsi="Times New Roman"/>
          <w:szCs w:val="20"/>
        </w:rPr>
        <w:t xml:space="preserve">: Support being scheduled in SBFD symbol in UL sub-band </w:t>
      </w:r>
      <w:r w:rsidR="00756783">
        <w:rPr>
          <w:rFonts w:ascii="Times New Roman" w:hAnsi="Times New Roman"/>
          <w:szCs w:val="20"/>
        </w:rPr>
        <w:t xml:space="preserve">or </w:t>
      </w:r>
      <w:r w:rsidRPr="002C52C0">
        <w:rPr>
          <w:rFonts w:ascii="Times New Roman" w:hAnsi="Times New Roman"/>
          <w:szCs w:val="20"/>
        </w:rPr>
        <w:t>across both DL sub-bands</w:t>
      </w:r>
    </w:p>
    <w:p w14:paraId="790F2DAE" w14:textId="77777777" w:rsidR="00071425" w:rsidRDefault="00071425" w:rsidP="00A40114">
      <w:pPr>
        <w:jc w:val="both"/>
        <w:rPr>
          <w:sz w:val="20"/>
          <w:szCs w:val="20"/>
        </w:rPr>
      </w:pPr>
    </w:p>
    <w:p w14:paraId="5A2FDA58" w14:textId="03583016" w:rsidR="00B20761" w:rsidRDefault="0017290F" w:rsidP="00A40114">
      <w:pPr>
        <w:jc w:val="both"/>
        <w:rPr>
          <w:sz w:val="20"/>
          <w:szCs w:val="20"/>
        </w:rPr>
      </w:pPr>
      <w:r>
        <w:rPr>
          <w:sz w:val="20"/>
          <w:szCs w:val="20"/>
        </w:rPr>
        <w:t>In the above formulation, Cap1 is the least capable UE in terms of UE-to-UE CLI</w:t>
      </w:r>
      <w:r w:rsidR="002626E1">
        <w:rPr>
          <w:sz w:val="20"/>
          <w:szCs w:val="20"/>
        </w:rPr>
        <w:t xml:space="preserve"> handling</w:t>
      </w:r>
      <w:r>
        <w:rPr>
          <w:sz w:val="20"/>
          <w:szCs w:val="20"/>
        </w:rPr>
        <w:t xml:space="preserve">, as such a UE avoids </w:t>
      </w:r>
      <w:r w:rsidR="00B20761">
        <w:rPr>
          <w:sz w:val="20"/>
          <w:szCs w:val="20"/>
        </w:rPr>
        <w:t>being</w:t>
      </w:r>
      <w:r>
        <w:rPr>
          <w:sz w:val="20"/>
          <w:szCs w:val="20"/>
        </w:rPr>
        <w:t xml:space="preserve"> scheduled in downlink in SBFD symbols in any of the DL sub-bands. Cap3 is the most capable UE as it can be scheduled in downlink across the two DL sub-bands. Cap2 UE is in the middle. </w:t>
      </w:r>
      <w:r w:rsidR="00B20761" w:rsidRPr="00B20761">
        <w:rPr>
          <w:sz w:val="20"/>
          <w:szCs w:val="20"/>
        </w:rPr>
        <w:t xml:space="preserve">For a SBFD-aware UE </w:t>
      </w:r>
      <w:r w:rsidR="00B20761"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Cap2, </w:t>
      </w:r>
      <w:r w:rsidR="00B20761" w:rsidRPr="00B20761">
        <w:rPr>
          <w:sz w:val="20"/>
          <w:szCs w:val="20"/>
        </w:rPr>
        <w:t xml:space="preserve">SBFD switching delay is defined as the </w:t>
      </w:r>
      <w:r w:rsidR="00B20761">
        <w:rPr>
          <w:sz w:val="20"/>
          <w:szCs w:val="20"/>
        </w:rPr>
        <w:t xml:space="preserve">time </w:t>
      </w:r>
      <w:r w:rsidR="00B20761" w:rsidRPr="00B20761">
        <w:rPr>
          <w:sz w:val="20"/>
          <w:szCs w:val="20"/>
        </w:rPr>
        <w:t xml:space="preserve">offset between </w:t>
      </w:r>
      <w:r w:rsidR="00B20761">
        <w:rPr>
          <w:sz w:val="20"/>
          <w:szCs w:val="20"/>
        </w:rPr>
        <w:t>s</w:t>
      </w:r>
      <w:r w:rsidR="00B20761" w:rsidRPr="00B20761">
        <w:rPr>
          <w:sz w:val="20"/>
          <w:szCs w:val="20"/>
        </w:rPr>
        <w:t>witch</w:t>
      </w:r>
      <w:r w:rsidR="00B20761">
        <w:rPr>
          <w:sz w:val="20"/>
          <w:szCs w:val="20"/>
        </w:rPr>
        <w:t>ing</w:t>
      </w:r>
      <w:r w:rsidR="00B20761" w:rsidRPr="00B20761">
        <w:rPr>
          <w:sz w:val="20"/>
          <w:szCs w:val="20"/>
        </w:rPr>
        <w:t xml:space="preserve"> from non-SBFD symbols to SBFD symbols</w:t>
      </w:r>
      <w:r w:rsidR="00B20761">
        <w:rPr>
          <w:sz w:val="20"/>
          <w:szCs w:val="20"/>
        </w:rPr>
        <w:t xml:space="preserve"> (and vice versa), or from one sub-band to another sub-band within SBFD symbols.</w:t>
      </w:r>
      <w:r w:rsidR="00B20761" w:rsidRPr="00B20761">
        <w:rPr>
          <w:sz w:val="20"/>
          <w:szCs w:val="20"/>
        </w:rPr>
        <w:t xml:space="preserve"> </w:t>
      </w:r>
    </w:p>
    <w:p w14:paraId="19C62E05" w14:textId="77777777" w:rsidR="00B20761" w:rsidRDefault="00B20761" w:rsidP="00A40114">
      <w:pPr>
        <w:jc w:val="both"/>
        <w:rPr>
          <w:sz w:val="20"/>
          <w:szCs w:val="20"/>
        </w:rPr>
      </w:pPr>
    </w:p>
    <w:p w14:paraId="563EEA7F" w14:textId="15A74D75" w:rsidR="00B20761" w:rsidRPr="00B20761" w:rsidRDefault="00B20761" w:rsidP="00B20761">
      <w:pPr>
        <w:jc w:val="both"/>
        <w:rPr>
          <w:sz w:val="20"/>
          <w:szCs w:val="20"/>
        </w:rPr>
      </w:pPr>
      <w:r w:rsidRPr="00B20761">
        <w:rPr>
          <w:b/>
          <w:bCs/>
          <w:sz w:val="20"/>
          <w:szCs w:val="20"/>
        </w:rPr>
        <w:t xml:space="preserve">Proposal </w:t>
      </w:r>
      <w:r w:rsidR="002C52C0">
        <w:rPr>
          <w:b/>
          <w:bCs/>
          <w:sz w:val="20"/>
          <w:szCs w:val="20"/>
        </w:rPr>
        <w:t>2</w:t>
      </w:r>
      <w:r w:rsidRPr="00B20761">
        <w:rPr>
          <w:sz w:val="20"/>
          <w:szCs w:val="20"/>
        </w:rPr>
        <w:t>: For a SBFD-aware UE which can</w:t>
      </w:r>
      <w:r w:rsidR="00756783">
        <w:rPr>
          <w:sz w:val="20"/>
          <w:szCs w:val="20"/>
        </w:rPr>
        <w:t>not</w:t>
      </w:r>
      <w:r w:rsidRPr="00B20761">
        <w:rPr>
          <w:sz w:val="20"/>
          <w:szCs w:val="20"/>
        </w:rPr>
        <w:t xml:space="preserve"> receive </w:t>
      </w:r>
      <w:r w:rsidR="00756783">
        <w:rPr>
          <w:sz w:val="20"/>
          <w:szCs w:val="20"/>
        </w:rPr>
        <w:t xml:space="preserve">across both </w:t>
      </w:r>
      <w:r w:rsidRPr="00B20761">
        <w:rPr>
          <w:sz w:val="20"/>
          <w:szCs w:val="20"/>
        </w:rPr>
        <w:t xml:space="preserve">DL sub-bands in SBFD symbols, SBFD switching delay is defined as the </w:t>
      </w:r>
      <w:r>
        <w:rPr>
          <w:sz w:val="20"/>
          <w:szCs w:val="20"/>
        </w:rPr>
        <w:t xml:space="preserve">time </w:t>
      </w:r>
      <w:r w:rsidRPr="00B20761">
        <w:rPr>
          <w:sz w:val="20"/>
          <w:szCs w:val="20"/>
        </w:rPr>
        <w:t xml:space="preserve">offset between </w:t>
      </w:r>
      <w:r>
        <w:rPr>
          <w:sz w:val="20"/>
          <w:szCs w:val="20"/>
        </w:rPr>
        <w:t>s</w:t>
      </w:r>
      <w:r w:rsidRPr="00B20761">
        <w:rPr>
          <w:sz w:val="20"/>
          <w:szCs w:val="20"/>
        </w:rPr>
        <w:t>witch</w:t>
      </w:r>
      <w:r>
        <w:rPr>
          <w:sz w:val="20"/>
          <w:szCs w:val="20"/>
        </w:rPr>
        <w:t>ing</w:t>
      </w:r>
      <w:r w:rsidRPr="00B20761">
        <w:rPr>
          <w:sz w:val="20"/>
          <w:szCs w:val="20"/>
        </w:rPr>
        <w:t xml:space="preserve"> from non-SBFD symbols to SBFD symbols</w:t>
      </w:r>
      <w:r>
        <w:rPr>
          <w:sz w:val="20"/>
          <w:szCs w:val="20"/>
        </w:rPr>
        <w:t xml:space="preserve"> (and vice versa), or from one sub-band to another sub-band within SBFD symbols.</w:t>
      </w:r>
    </w:p>
    <w:p w14:paraId="3EA1B22D" w14:textId="77777777" w:rsidR="00B20761" w:rsidRDefault="00B20761" w:rsidP="00B20761">
      <w:pPr>
        <w:jc w:val="both"/>
        <w:rPr>
          <w:sz w:val="20"/>
          <w:szCs w:val="20"/>
        </w:rPr>
      </w:pPr>
    </w:p>
    <w:p w14:paraId="50F841BD" w14:textId="098EA8BA" w:rsidR="00B20761" w:rsidRDefault="00756783" w:rsidP="00B20761">
      <w:pPr>
        <w:jc w:val="both"/>
        <w:rPr>
          <w:sz w:val="20"/>
          <w:szCs w:val="20"/>
        </w:rPr>
      </w:pPr>
      <w:r>
        <w:rPr>
          <w:sz w:val="20"/>
          <w:szCs w:val="20"/>
        </w:rPr>
        <w:t>Here it must be n</w:t>
      </w:r>
      <w:r w:rsidRPr="00B20761">
        <w:rPr>
          <w:sz w:val="20"/>
          <w:szCs w:val="20"/>
        </w:rPr>
        <w:t>ote</w:t>
      </w:r>
      <w:r>
        <w:rPr>
          <w:sz w:val="20"/>
          <w:szCs w:val="20"/>
        </w:rPr>
        <w:t>d</w:t>
      </w:r>
      <w:r w:rsidRPr="00B20761">
        <w:rPr>
          <w:sz w:val="20"/>
          <w:szCs w:val="20"/>
        </w:rPr>
        <w:t xml:space="preserve"> that </w:t>
      </w:r>
      <w:r>
        <w:rPr>
          <w:sz w:val="20"/>
          <w:szCs w:val="20"/>
        </w:rPr>
        <w:t xml:space="preserve">there will be no active BWP switching even for low capable UEs, s no new design/specification is needed in terms of BWP switch indication, number of configured BWP etc. Further, </w:t>
      </w:r>
      <w:r w:rsidR="00B20761" w:rsidRPr="00B20761">
        <w:rPr>
          <w:sz w:val="20"/>
          <w:szCs w:val="20"/>
        </w:rPr>
        <w:t xml:space="preserve">SBFD switching delay </w:t>
      </w:r>
      <w:r>
        <w:rPr>
          <w:sz w:val="20"/>
          <w:szCs w:val="20"/>
        </w:rPr>
        <w:t>be smaller than</w:t>
      </w:r>
      <w:r w:rsidR="00B20761" w:rsidRPr="00B20761">
        <w:rPr>
          <w:sz w:val="20"/>
          <w:szCs w:val="20"/>
        </w:rPr>
        <w:t xml:space="preserve"> the numbers </w:t>
      </w:r>
      <w:r w:rsidR="008F614E">
        <w:rPr>
          <w:sz w:val="20"/>
          <w:szCs w:val="20"/>
        </w:rPr>
        <w:t xml:space="preserve">already </w:t>
      </w:r>
      <w:r w:rsidR="00B20761" w:rsidRPr="00B20761">
        <w:rPr>
          <w:sz w:val="20"/>
          <w:szCs w:val="20"/>
        </w:rPr>
        <w:t xml:space="preserve">specified in 38.133 Table 8.6.2-1, for BWP switch delay </w:t>
      </w:r>
      <w:r>
        <w:rPr>
          <w:sz w:val="20"/>
          <w:szCs w:val="20"/>
        </w:rPr>
        <w:t xml:space="preserve">given that no BWP switch </w:t>
      </w:r>
      <w:proofErr w:type="gramStart"/>
      <w:r>
        <w:rPr>
          <w:sz w:val="20"/>
          <w:szCs w:val="20"/>
        </w:rPr>
        <w:t>occurs</w:t>
      </w:r>
      <w:proofErr w:type="gramEnd"/>
      <w:r>
        <w:rPr>
          <w:sz w:val="20"/>
          <w:szCs w:val="20"/>
        </w:rPr>
        <w:t xml:space="preserve"> and RF/base-band parameters remain unchanged</w:t>
      </w:r>
      <w:r w:rsidR="00B20761">
        <w:rPr>
          <w:sz w:val="20"/>
          <w:szCs w:val="20"/>
        </w:rPr>
        <w:t xml:space="preserve">. </w:t>
      </w:r>
    </w:p>
    <w:p w14:paraId="714B30BC" w14:textId="77777777" w:rsidR="00B20761" w:rsidRDefault="00B20761" w:rsidP="00A40114">
      <w:pPr>
        <w:jc w:val="both"/>
        <w:rPr>
          <w:sz w:val="20"/>
          <w:szCs w:val="20"/>
        </w:rPr>
      </w:pPr>
    </w:p>
    <w:p w14:paraId="32BA9A3D" w14:textId="3955180A" w:rsidR="008F614E" w:rsidRDefault="00F707F1" w:rsidP="00F707F1">
      <w:pPr>
        <w:jc w:val="center"/>
        <w:rPr>
          <w:sz w:val="20"/>
          <w:szCs w:val="20"/>
        </w:rPr>
      </w:pPr>
      <w:r w:rsidRPr="00F707F1">
        <w:rPr>
          <w:noProof/>
          <w:sz w:val="20"/>
          <w:szCs w:val="20"/>
        </w:rPr>
        <w:drawing>
          <wp:inline distT="0" distB="0" distL="0" distR="0" wp14:anchorId="108811ED" wp14:editId="2DA1D922">
            <wp:extent cx="4756468" cy="1025119"/>
            <wp:effectExtent l="0" t="0" r="0" b="3810"/>
            <wp:docPr id="1009611172" name="Picture 1" descr="A blue and pink rectangular object with a black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11172" name="Picture 1" descr="A blue and pink rectangular object with a black arrow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5228" cy="103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D2B6E" w14:textId="197344E3" w:rsidR="00EC62F6" w:rsidRPr="00F707F1" w:rsidRDefault="008F614E" w:rsidP="00F707F1">
      <w:pPr>
        <w:pStyle w:val="0Maintext"/>
        <w:spacing w:before="20" w:after="120" w:line="480" w:lineRule="auto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="002C52C0">
        <w:rPr>
          <w:b/>
          <w:bCs/>
          <w:lang w:val="en-US"/>
        </w:rPr>
        <w:t>1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SBFD switching delay for a UE incapable of being scheduled across both DL sub-bands</w:t>
      </w:r>
    </w:p>
    <w:p w14:paraId="2A7D6A74" w14:textId="16431C1D" w:rsidR="00206EE5" w:rsidRDefault="00206EE5" w:rsidP="00EC62F6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the example shown in Figure </w:t>
      </w:r>
      <w:r w:rsidR="00BA3C72">
        <w:rPr>
          <w:sz w:val="20"/>
          <w:szCs w:val="20"/>
        </w:rPr>
        <w:t>1</w:t>
      </w:r>
      <w:r>
        <w:rPr>
          <w:sz w:val="20"/>
          <w:szCs w:val="20"/>
        </w:rPr>
        <w:t>, a guard band is assumed between UL and DL sub-bands</w:t>
      </w:r>
      <w:r w:rsidR="000C4FCE">
        <w:rPr>
          <w:sz w:val="20"/>
          <w:szCs w:val="20"/>
        </w:rPr>
        <w:t>. In practice, UE should be able to indicate as part of UE capability, minimum required guard band between UL and DL sub-bands.</w:t>
      </w:r>
    </w:p>
    <w:p w14:paraId="0EF10AB7" w14:textId="77777777" w:rsidR="000C4FCE" w:rsidRDefault="000C4FCE" w:rsidP="00EC62F6">
      <w:pPr>
        <w:jc w:val="both"/>
        <w:rPr>
          <w:sz w:val="20"/>
          <w:szCs w:val="20"/>
        </w:rPr>
      </w:pPr>
    </w:p>
    <w:p w14:paraId="5ACA53FD" w14:textId="40B79E53" w:rsidR="001A2BC0" w:rsidRPr="001821C7" w:rsidRDefault="000C4FCE" w:rsidP="001821C7">
      <w:pPr>
        <w:jc w:val="both"/>
        <w:rPr>
          <w:sz w:val="20"/>
          <w:szCs w:val="20"/>
        </w:rPr>
      </w:pPr>
      <w:r w:rsidRPr="000C4FCE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</w:t>
      </w:r>
      <w:r w:rsidR="002C52C0">
        <w:rPr>
          <w:b/>
          <w:bCs/>
          <w:sz w:val="20"/>
          <w:szCs w:val="20"/>
        </w:rPr>
        <w:t>3</w:t>
      </w:r>
      <w:r w:rsidRPr="000C4FCE">
        <w:rPr>
          <w:sz w:val="20"/>
          <w:szCs w:val="20"/>
        </w:rPr>
        <w:t xml:space="preserve">: UE indicates as part of UE capability signaling, the minimum required guard band between </w:t>
      </w:r>
      <w:r>
        <w:rPr>
          <w:sz w:val="20"/>
          <w:szCs w:val="20"/>
        </w:rPr>
        <w:t xml:space="preserve">UL and DL sub-bands, </w:t>
      </w:r>
      <w:r w:rsidRPr="000C4FCE">
        <w:rPr>
          <w:sz w:val="20"/>
          <w:szCs w:val="20"/>
        </w:rPr>
        <w:t xml:space="preserve">in the unit of frequency, </w:t>
      </w:r>
      <w:r>
        <w:rPr>
          <w:sz w:val="20"/>
          <w:szCs w:val="20"/>
        </w:rPr>
        <w:t xml:space="preserve">or </w:t>
      </w:r>
      <w:r w:rsidRPr="000C4FCE">
        <w:rPr>
          <w:sz w:val="20"/>
          <w:szCs w:val="20"/>
        </w:rPr>
        <w:t>number of PRBs for each tone spacing</w:t>
      </w:r>
      <w:r w:rsidR="00D059E0">
        <w:rPr>
          <w:sz w:val="20"/>
          <w:szCs w:val="20"/>
        </w:rPr>
        <w:t>.</w:t>
      </w:r>
    </w:p>
    <w:p w14:paraId="304D046A" w14:textId="77777777" w:rsidR="008742BF" w:rsidRDefault="008742BF" w:rsidP="00422564">
      <w:pPr>
        <w:jc w:val="both"/>
        <w:rPr>
          <w:sz w:val="20"/>
          <w:szCs w:val="20"/>
        </w:rPr>
      </w:pPr>
    </w:p>
    <w:p w14:paraId="07E3966D" w14:textId="77777777" w:rsidR="000E65B1" w:rsidRPr="00BE4C1E" w:rsidRDefault="000E65B1" w:rsidP="000E65B1">
      <w:pPr>
        <w:jc w:val="both"/>
        <w:rPr>
          <w:sz w:val="20"/>
          <w:szCs w:val="20"/>
        </w:rPr>
      </w:pPr>
    </w:p>
    <w:p w14:paraId="5D14DCCD" w14:textId="06A909B7" w:rsidR="001B19B2" w:rsidRDefault="001B19B2" w:rsidP="00F76BAE">
      <w:pPr>
        <w:pStyle w:val="Heading2"/>
      </w:pPr>
      <w:r>
        <w:t>More on resource configurations for SBFD operation</w:t>
      </w:r>
    </w:p>
    <w:p w14:paraId="09D40F51" w14:textId="7D7B3E88" w:rsidR="003416D7" w:rsidRPr="00386D57" w:rsidRDefault="00032DC9" w:rsidP="003416D7">
      <w:pPr>
        <w:jc w:val="both"/>
        <w:rPr>
          <w:rFonts w:eastAsia="Malgun Gothic"/>
          <w:sz w:val="20"/>
          <w:szCs w:val="20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uplink transmission (or downlink reception) with Configuration 2, where 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different occasions may </w:t>
      </w:r>
      <w:r w:rsidR="001E08D5">
        <w:rPr>
          <w:rFonts w:eastAsia="Malgun Gothic" w:cs="Times"/>
          <w:sz w:val="20"/>
          <w:szCs w:val="20"/>
          <w:lang w:val="en-GB" w:eastAsia="en-US"/>
        </w:rPr>
        <w:t>span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different symbol types</w:t>
      </w:r>
      <w:r w:rsidR="001E08D5">
        <w:rPr>
          <w:rFonts w:eastAsia="Malgun Gothic" w:cs="Times"/>
          <w:sz w:val="20"/>
          <w:szCs w:val="20"/>
          <w:lang w:val="en-GB" w:eastAsia="en-US"/>
        </w:rPr>
        <w:t>,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some agreements were achieved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mainly on 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how to determine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frequency domain resource allocation. In </w:t>
      </w:r>
      <w:r w:rsidR="00386D57">
        <w:rPr>
          <w:rFonts w:eastAsia="Malgun Gothic" w:cs="Times"/>
          <w:sz w:val="20"/>
          <w:szCs w:val="20"/>
          <w:lang w:val="en-GB" w:eastAsia="en-US"/>
        </w:rPr>
        <w:t>general,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 f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or a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CG-PUSCH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in Configuration 2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, where different repetitions span different slot types (non-SBFD vs SBFD),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different CG-PUSCH parameters may be desired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This is due to the facts that UE may follow different power control parameters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due to different interference profile in SBFD and non-SBFD slots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, and</w:t>
      </w:r>
      <w:r w:rsidR="001B19B2">
        <w:rPr>
          <w:rFonts w:eastAsia="Malgun Gothic" w:cs="Times"/>
          <w:sz w:val="20"/>
          <w:szCs w:val="20"/>
          <w:lang w:val="en-GB" w:eastAsia="en-US"/>
        </w:rPr>
        <w:t>/or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</w:t>
      </w:r>
      <w:proofErr w:type="spellStart"/>
      <w:r w:rsidR="001B19B2" w:rsidRPr="001B19B2">
        <w:rPr>
          <w:rFonts w:eastAsia="Malgun Gothic" w:cs="Times"/>
          <w:sz w:val="20"/>
          <w:szCs w:val="20"/>
          <w:lang w:val="en-GB" w:eastAsia="en-US"/>
        </w:rPr>
        <w:t>gNB</w:t>
      </w:r>
      <w:proofErr w:type="spellEnd"/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may experience self-interference, wider beam indication etc for SBFD slots vs non-SBFD slots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In Fig. </w:t>
      </w:r>
      <w:r w:rsidR="001E08D5">
        <w:rPr>
          <w:rFonts w:eastAsia="Malgun Gothic" w:cs="Times"/>
          <w:sz w:val="20"/>
          <w:szCs w:val="20"/>
          <w:lang w:val="en-GB" w:eastAsia="en-US"/>
        </w:rPr>
        <w:t>2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, an example is shown where 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CG PUSCH is configured with RRC parameter </w:t>
      </w:r>
      <w:r w:rsidR="003416D7" w:rsidRPr="003416D7">
        <w:rPr>
          <w:rFonts w:eastAsia="Malgun Gothic" w:cs="Times"/>
          <w:i/>
          <w:iCs/>
          <w:sz w:val="20"/>
          <w:szCs w:val="20"/>
          <w:lang w:eastAsia="en-US"/>
        </w:rPr>
        <w:t>periodicity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</w:t>
      </w:r>
      <w:r w:rsidR="003416D7">
        <w:rPr>
          <w:rFonts w:eastAsia="Malgun Gothic" w:cs="Times"/>
          <w:sz w:val="20"/>
          <w:szCs w:val="20"/>
          <w:lang w:eastAsia="en-US"/>
        </w:rPr>
        <w:t xml:space="preserve">as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2 slots (sym2x14)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. In this example, MCS corresponding to those occasions </w:t>
      </w:r>
      <w:r w:rsidR="000F0792">
        <w:rPr>
          <w:rFonts w:eastAsia="Malgun Gothic" w:cs="Times"/>
          <w:sz w:val="20"/>
          <w:szCs w:val="20"/>
          <w:lang w:val="en-GB" w:eastAsia="en-US"/>
        </w:rPr>
        <w:t>within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legacy </w:t>
      </w:r>
      <w:r w:rsidR="003416D7">
        <w:rPr>
          <w:rFonts w:eastAsia="Malgun Gothic" w:cs="Times"/>
          <w:sz w:val="20"/>
          <w:szCs w:val="20"/>
          <w:lang w:eastAsia="en-US"/>
        </w:rPr>
        <w:t>non-SBFD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slots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 1 and CG_PUSCH_3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 is different from the MCS for occasions that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happen in a SBFD slot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CG_PUSCH_2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). </w:t>
      </w:r>
    </w:p>
    <w:p w14:paraId="0BC9DA72" w14:textId="77777777" w:rsidR="003C68E4" w:rsidRDefault="003C68E4" w:rsidP="00D337CA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49C10D" w14:textId="7C168940" w:rsidR="003C68E4" w:rsidRDefault="003416D7" w:rsidP="000F0792">
      <w:pPr>
        <w:jc w:val="center"/>
        <w:rPr>
          <w:rFonts w:eastAsia="Malgun Gothic" w:cs="Times"/>
          <w:sz w:val="20"/>
          <w:szCs w:val="20"/>
          <w:lang w:val="en-GB" w:eastAsia="en-US"/>
        </w:rPr>
      </w:pPr>
      <w:r w:rsidRPr="003416D7">
        <w:rPr>
          <w:rFonts w:eastAsia="Malgun Gothic" w:cs="Times"/>
          <w:noProof/>
          <w:sz w:val="20"/>
          <w:szCs w:val="20"/>
          <w:lang w:val="en-GB" w:eastAsia="en-US"/>
        </w:rPr>
        <w:drawing>
          <wp:inline distT="0" distB="0" distL="0" distR="0" wp14:anchorId="079C575C" wp14:editId="36E831EB">
            <wp:extent cx="4079653" cy="1713273"/>
            <wp:effectExtent l="0" t="0" r="0" b="0"/>
            <wp:docPr id="1165514633" name="Picture 1" descr="A diagram of a ba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14633" name="Picture 1" descr="A diagram of a band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0149" cy="171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7B115" w14:textId="0784FAE9" w:rsidR="000F0792" w:rsidRPr="001B19B2" w:rsidRDefault="000F0792" w:rsidP="000F079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="001E08D5">
        <w:rPr>
          <w:b/>
          <w:bCs/>
          <w:lang w:val="en-US"/>
        </w:rPr>
        <w:t>2</w:t>
      </w:r>
      <w:r w:rsidRPr="00F3283C">
        <w:rPr>
          <w:b/>
          <w:bCs/>
          <w:lang w:val="en-US"/>
        </w:rPr>
        <w:t xml:space="preserve">: </w:t>
      </w:r>
      <w:r w:rsidR="00504941">
        <w:rPr>
          <w:b/>
          <w:bCs/>
          <w:lang w:val="en-US"/>
        </w:rPr>
        <w:t>CG-PUSCH configuration with different MCS configurations</w:t>
      </w:r>
    </w:p>
    <w:p w14:paraId="68A58884" w14:textId="36DAADCC" w:rsidR="00F44AF8" w:rsidRPr="00770AA4" w:rsidRDefault="00F44AF8" w:rsidP="00356B5F">
      <w:pPr>
        <w:jc w:val="both"/>
        <w:rPr>
          <w:rFonts w:eastAsia="Malgun Gothic" w:cs="Times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674468">
        <w:rPr>
          <w:rFonts w:eastAsia="Malgun Gothic" w:cs="Times"/>
          <w:b/>
          <w:bCs/>
          <w:sz w:val="20"/>
          <w:szCs w:val="20"/>
          <w:lang w:eastAsia="en-US"/>
        </w:rPr>
        <w:t>4</w:t>
      </w:r>
      <w:r w:rsidRPr="00F44AF8">
        <w:rPr>
          <w:rFonts w:eastAsia="Malgun Gothic" w:cs="Times"/>
          <w:sz w:val="20"/>
          <w:szCs w:val="20"/>
          <w:lang w:eastAsia="en-US"/>
        </w:rPr>
        <w:t>: For a type-1 CG-PUSCH</w:t>
      </w:r>
      <w:r w:rsidR="00D37FA3">
        <w:rPr>
          <w:rFonts w:eastAsia="Malgun Gothic" w:cs="Times"/>
          <w:sz w:val="20"/>
          <w:szCs w:val="20"/>
          <w:lang w:eastAsia="en-US"/>
        </w:rPr>
        <w:t xml:space="preserve"> and Configuration 2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, </w:t>
      </w:r>
      <w:proofErr w:type="spellStart"/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proofErr w:type="spellEnd"/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</w:t>
      </w:r>
      <w:r w:rsidR="00386D57">
        <w:rPr>
          <w:rFonts w:eastAsia="Malgun Gothic" w:cs="Times"/>
          <w:sz w:val="20"/>
          <w:szCs w:val="20"/>
          <w:lang w:eastAsia="en-US"/>
        </w:rPr>
        <w:t>MCS</w:t>
      </w:r>
      <w:r w:rsidRPr="00F44AF8">
        <w:rPr>
          <w:rFonts w:eastAsia="Malgun Gothic" w:cs="Times"/>
          <w:sz w:val="20"/>
          <w:szCs w:val="20"/>
          <w:lang w:eastAsia="en-US"/>
        </w:rPr>
        <w:t>,</w:t>
      </w:r>
      <w:r w:rsidR="00386D57">
        <w:rPr>
          <w:rFonts w:eastAsia="Malgun Gothic" w:cs="Times"/>
          <w:sz w:val="20"/>
          <w:szCs w:val="20"/>
          <w:lang w:eastAsia="en-US"/>
        </w:rPr>
        <w:t xml:space="preserve"> </w:t>
      </w:r>
      <w:r w:rsidR="00386D57" w:rsidRPr="00386D57">
        <w:rPr>
          <w:rFonts w:eastAsia="Malgun Gothic" w:cs="Times"/>
          <w:sz w:val="20"/>
          <w:szCs w:val="20"/>
          <w:lang w:val="en-GB" w:eastAsia="en-US"/>
        </w:rPr>
        <w:t>(</w:t>
      </w:r>
      <w:proofErr w:type="spellStart"/>
      <w:r w:rsidR="00386D57" w:rsidRPr="00386D57">
        <w:rPr>
          <w:rFonts w:eastAsia="Malgun Gothic" w:cs="Times"/>
          <w:sz w:val="20"/>
          <w:szCs w:val="20"/>
          <w:lang w:val="en-GB" w:eastAsia="en-US"/>
        </w:rPr>
        <w:t>mcsAndTBS</w:t>
      </w:r>
      <w:proofErr w:type="spellEnd"/>
      <w:r w:rsidR="00386D57" w:rsidRPr="00386D57">
        <w:rPr>
          <w:rFonts w:eastAsia="Malgun Gothic" w:cs="Times"/>
          <w:sz w:val="20"/>
          <w:szCs w:val="20"/>
          <w:lang w:val="en-GB" w:eastAsia="en-US"/>
        </w:rPr>
        <w:t xml:space="preserve">, </w:t>
      </w:r>
      <w:r w:rsidR="00386D57" w:rsidRPr="00386D57">
        <w:rPr>
          <w:rFonts w:eastAsia="Malgun Gothic" w:cs="Times"/>
          <w:b/>
          <w:bCs/>
          <w:sz w:val="20"/>
          <w:szCs w:val="20"/>
          <w:lang w:val="en-GB" w:eastAsia="en-US"/>
        </w:rPr>
        <w:t>mcsAndTBS2</w:t>
      </w:r>
      <w:r w:rsidR="00386D57" w:rsidRPr="00386D57">
        <w:rPr>
          <w:rFonts w:eastAsia="Malgun Gothic" w:cs="Times"/>
          <w:sz w:val="20"/>
          <w:szCs w:val="20"/>
          <w:lang w:val="en-GB" w:eastAsia="en-US"/>
        </w:rPr>
        <w:t>)</w:t>
      </w:r>
      <w:r w:rsidR="00770AA4">
        <w:rPr>
          <w:rFonts w:eastAsia="Malgun Gothic" w:cs="Times"/>
          <w:sz w:val="20"/>
          <w:szCs w:val="20"/>
          <w:lang w:eastAsia="en-US"/>
        </w:rPr>
        <w:t xml:space="preserve"> </w:t>
      </w:r>
      <w:r w:rsidRPr="00F44AF8">
        <w:rPr>
          <w:rFonts w:eastAsia="Malgun Gothic" w:cs="Times"/>
          <w:sz w:val="20"/>
          <w:szCs w:val="20"/>
          <w:lang w:eastAsia="en-US"/>
        </w:rPr>
        <w:t>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</w:t>
      </w:r>
      <w:r w:rsidR="00770AA4">
        <w:rPr>
          <w:rFonts w:eastAsia="Malgun Gothic" w:cs="Times"/>
          <w:sz w:val="20"/>
          <w:szCs w:val="20"/>
          <w:lang w:eastAsia="en-US"/>
        </w:rPr>
        <w:t>.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6FF3F7F5" w14:textId="0588D297" w:rsidR="00FE3FF0" w:rsidRDefault="00FE3FF0" w:rsidP="00356B5F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04987431" w14:textId="1D02B01E" w:rsidR="00770AA4" w:rsidRDefault="00770AA4" w:rsidP="00356B5F">
      <w:pPr>
        <w:jc w:val="both"/>
        <w:rPr>
          <w:rFonts w:eastAsia="Malgun Gothic" w:cs="Times"/>
          <w:sz w:val="20"/>
          <w:szCs w:val="20"/>
          <w:lang w:val="en-GB" w:eastAsia="en-US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Similarly, for </w:t>
      </w:r>
      <w:r w:rsidR="00D37FA3">
        <w:rPr>
          <w:rFonts w:eastAsia="Malgun Gothic" w:cs="Times"/>
          <w:sz w:val="20"/>
          <w:szCs w:val="20"/>
          <w:lang w:eastAsia="en-US"/>
        </w:rPr>
        <w:t>Configuration 2</w:t>
      </w:r>
      <w:r w:rsidR="00BF198A">
        <w:rPr>
          <w:rFonts w:eastAsia="Malgun Gothic" w:cs="Times"/>
          <w:sz w:val="20"/>
          <w:szCs w:val="20"/>
          <w:lang w:eastAsia="en-US"/>
        </w:rPr>
        <w:t xml:space="preserve"> </w:t>
      </w:r>
      <w:r w:rsidR="00D37FA3">
        <w:rPr>
          <w:rFonts w:eastAsia="Malgun Gothic" w:cs="Times"/>
          <w:sz w:val="20"/>
          <w:szCs w:val="20"/>
          <w:lang w:eastAsia="en-US"/>
        </w:rPr>
        <w:t xml:space="preserve">and </w:t>
      </w:r>
      <w:r>
        <w:rPr>
          <w:rFonts w:eastAsia="Malgun Gothic" w:cs="Times"/>
          <w:sz w:val="20"/>
          <w:szCs w:val="20"/>
          <w:lang w:val="en-GB" w:eastAsia="en-US"/>
        </w:rPr>
        <w:t>type-2 CG PUSCH or SPS-PDSCH</w:t>
      </w:r>
      <w:r w:rsidR="00356B5F">
        <w:rPr>
          <w:rFonts w:eastAsia="Malgun Gothic" w:cs="Times"/>
          <w:sz w:val="20"/>
          <w:szCs w:val="20"/>
          <w:lang w:val="en-GB" w:eastAsia="en-US"/>
        </w:rPr>
        <w:t>, or multi-grant PUSCH/PDSCH</w:t>
      </w:r>
      <w:r>
        <w:rPr>
          <w:rFonts w:eastAsia="Malgun Gothic" w:cs="Times"/>
          <w:sz w:val="20"/>
          <w:szCs w:val="20"/>
          <w:lang w:val="en-GB" w:eastAsia="en-US"/>
        </w:rPr>
        <w:t xml:space="preserve">, the MCS in the activation DCI can be applied to </w:t>
      </w:r>
      <w:r w:rsidR="00D37FA3">
        <w:rPr>
          <w:rFonts w:eastAsia="Malgun Gothic" w:cs="Times"/>
          <w:sz w:val="20"/>
          <w:szCs w:val="20"/>
          <w:lang w:val="en-GB" w:eastAsia="en-US"/>
        </w:rPr>
        <w:t>non-SBFD occasions, while a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 RRC configured</w:t>
      </w:r>
      <w:r w:rsidR="00D37FA3">
        <w:rPr>
          <w:rFonts w:eastAsia="Malgun Gothic" w:cs="Times"/>
          <w:sz w:val="20"/>
          <w:szCs w:val="20"/>
          <w:lang w:val="en-GB" w:eastAsia="en-US"/>
        </w:rPr>
        <w:t xml:space="preserve"> offset MCS in respect to the indicated </w:t>
      </w:r>
      <w:r w:rsidR="00356B5F">
        <w:rPr>
          <w:rFonts w:eastAsia="Malgun Gothic" w:cs="Times"/>
          <w:sz w:val="20"/>
          <w:szCs w:val="20"/>
          <w:lang w:val="en-GB" w:eastAsia="en-US"/>
        </w:rPr>
        <w:t>MCS by the activation DCI can be applied to grants in SBFD occasions.</w:t>
      </w:r>
    </w:p>
    <w:p w14:paraId="44F41603" w14:textId="77777777" w:rsidR="00356B5F" w:rsidRDefault="00356B5F" w:rsidP="00770AA4">
      <w:pPr>
        <w:rPr>
          <w:rFonts w:eastAsia="Malgun Gothic" w:cs="Times"/>
          <w:sz w:val="20"/>
          <w:szCs w:val="20"/>
          <w:lang w:val="en-GB" w:eastAsia="en-US"/>
        </w:rPr>
      </w:pPr>
    </w:p>
    <w:p w14:paraId="77D39A23" w14:textId="77777777" w:rsidR="000F0792" w:rsidRDefault="000F0792" w:rsidP="000F0792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6E914D7F" w14:textId="11CCA34C" w:rsidR="00391289" w:rsidRDefault="00391289" w:rsidP="00391289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674468"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356B5F">
        <w:rPr>
          <w:rFonts w:eastAsia="Malgun Gothic" w:cs="Times"/>
          <w:sz w:val="20"/>
          <w:szCs w:val="20"/>
          <w:lang w:eastAsia="en-US"/>
        </w:rPr>
        <w:t xml:space="preserve">Configuration 2 and 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type-2 CG PUSCH or SPS-PDSCH, or multi-grant PUSCH/PDSCH, 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DCI </w:t>
      </w:r>
      <w:r w:rsidR="00356B5F">
        <w:rPr>
          <w:rFonts w:eastAsia="Malgun Gothic" w:cs="Times"/>
          <w:sz w:val="20"/>
          <w:szCs w:val="20"/>
          <w:lang w:eastAsia="en-US"/>
        </w:rPr>
        <w:t>indicates a MCS which is applied to non-SBFD occasions, while a RRC configured offset to the MCS indicated by DCI is applied to SBFD occasions.</w:t>
      </w:r>
    </w:p>
    <w:p w14:paraId="6D48DBC4" w14:textId="77777777" w:rsidR="004A7A1A" w:rsidRDefault="004A7A1A" w:rsidP="0039128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327CFEAD" w14:textId="77777777" w:rsidR="006358E7" w:rsidRDefault="006358E7" w:rsidP="00307F6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671302" w14:textId="44A25ACD" w:rsidR="000E6DF9" w:rsidRPr="000E6DF9" w:rsidRDefault="000E6DF9" w:rsidP="000E6DF9">
      <w:pPr>
        <w:jc w:val="both"/>
        <w:rPr>
          <w:rFonts w:eastAsia="Malgun Gothic" w:cs="Times"/>
          <w:sz w:val="20"/>
          <w:szCs w:val="20"/>
          <w:lang w:eastAsia="en-US"/>
        </w:rPr>
      </w:pPr>
      <w:r>
        <w:rPr>
          <w:rFonts w:eastAsia="Malgun Gothic" w:cs="Times"/>
          <w:sz w:val="20"/>
          <w:szCs w:val="20"/>
          <w:lang w:eastAsia="en-US"/>
        </w:rPr>
        <w:t xml:space="preserve">In RAN1#119, there has been discussions about interaction between </w:t>
      </w:r>
      <w:r w:rsidR="00457BBC">
        <w:rPr>
          <w:rFonts w:eastAsia="Malgun Gothic" w:cs="Times"/>
          <w:sz w:val="20"/>
          <w:szCs w:val="20"/>
          <w:lang w:eastAsia="en-US"/>
        </w:rPr>
        <w:t>cell-specific indication</w:t>
      </w:r>
      <w:r w:rsidR="00457BBC" w:rsidRPr="000E6DF9">
        <w:rPr>
          <w:rFonts w:eastAsia="Malgun Gothic" w:cs="Times"/>
          <w:sz w:val="20"/>
          <w:szCs w:val="20"/>
          <w:lang w:eastAsia="en-US"/>
        </w:rPr>
        <w:t xml:space="preserve"> </w:t>
      </w:r>
      <w:r w:rsidR="00457BBC">
        <w:rPr>
          <w:rFonts w:eastAsia="Malgun Gothic" w:cs="Times"/>
          <w:sz w:val="20"/>
          <w:szCs w:val="20"/>
          <w:lang w:eastAsia="en-US"/>
        </w:rPr>
        <w:t xml:space="preserve">of </w:t>
      </w:r>
      <w:r w:rsidRPr="000E6DF9">
        <w:rPr>
          <w:rFonts w:eastAsia="Malgun Gothic" w:cs="Times"/>
          <w:sz w:val="20"/>
          <w:szCs w:val="20"/>
          <w:lang w:eastAsia="en-US"/>
        </w:rPr>
        <w:t>SBFD symbol</w:t>
      </w:r>
      <w:r>
        <w:rPr>
          <w:rFonts w:eastAsia="Malgun Gothic" w:cs="Times"/>
          <w:sz w:val="20"/>
          <w:szCs w:val="20"/>
          <w:lang w:eastAsia="en-US"/>
        </w:rPr>
        <w:t xml:space="preserve"> configuration, and </w:t>
      </w:r>
      <w:r w:rsidRPr="000E6DF9">
        <w:rPr>
          <w:rFonts w:eastAsia="Malgun Gothic" w:cs="Times"/>
          <w:sz w:val="20"/>
          <w:szCs w:val="20"/>
          <w:lang w:eastAsia="en-US"/>
        </w:rPr>
        <w:t xml:space="preserve">legacy TDD slot configuration indications via </w:t>
      </w:r>
      <w:r w:rsidRPr="000E6DF9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proofErr w:type="spellStart"/>
      <w:r w:rsidRPr="000E6DF9">
        <w:rPr>
          <w:rFonts w:eastAsia="Malgun Gothic" w:cs="Times"/>
          <w:i/>
          <w:iCs/>
          <w:sz w:val="20"/>
          <w:szCs w:val="20"/>
          <w:lang w:eastAsia="en-US"/>
        </w:rPr>
        <w:t>ConfigDedicated</w:t>
      </w:r>
      <w:proofErr w:type="spellEnd"/>
      <w:r w:rsidR="00457BBC">
        <w:rPr>
          <w:rFonts w:eastAsia="Malgun Gothic" w:cs="Times"/>
          <w:sz w:val="20"/>
          <w:szCs w:val="20"/>
          <w:lang w:eastAsia="en-US"/>
        </w:rPr>
        <w:t>. More precisely, if a D of F</w:t>
      </w:r>
      <w:r w:rsidR="00457BBC" w:rsidRPr="00457BBC">
        <w:rPr>
          <w:rFonts w:eastAsia="Malgun Gothic" w:cs="Times"/>
          <w:sz w:val="20"/>
          <w:szCs w:val="20"/>
          <w:lang w:eastAsia="en-US"/>
        </w:rPr>
        <w:t xml:space="preserve"> </w:t>
      </w:r>
      <w:r w:rsidR="00457BBC">
        <w:rPr>
          <w:rFonts w:eastAsia="Malgun Gothic" w:cs="Times"/>
          <w:sz w:val="20"/>
          <w:szCs w:val="20"/>
          <w:lang w:eastAsia="en-US"/>
        </w:rPr>
        <w:t xml:space="preserve">symbol in </w:t>
      </w:r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proofErr w:type="spellStart"/>
      <w:r w:rsidR="00457BBC">
        <w:rPr>
          <w:rFonts w:eastAsia="Malgun Gothic" w:cs="Times"/>
          <w:i/>
          <w:iCs/>
          <w:sz w:val="20"/>
          <w:szCs w:val="20"/>
          <w:lang w:eastAsia="en-US"/>
        </w:rPr>
        <w:t>ConfigCommon</w:t>
      </w:r>
      <w:proofErr w:type="spellEnd"/>
      <w:r w:rsidR="00457BBC">
        <w:rPr>
          <w:rFonts w:eastAsia="Malgun Gothic" w:cs="Times"/>
          <w:sz w:val="20"/>
          <w:szCs w:val="20"/>
          <w:lang w:eastAsia="en-US"/>
        </w:rPr>
        <w:t xml:space="preserve"> is turned to SBFD symbol, what should be UE behavior on that symbol indication via UE specific </w:t>
      </w:r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proofErr w:type="spellStart"/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ConfigDedicated</w:t>
      </w:r>
      <w:proofErr w:type="spellEnd"/>
      <w:r w:rsidR="00457BBC">
        <w:rPr>
          <w:rFonts w:eastAsia="Malgun Gothic" w:cs="Times"/>
          <w:sz w:val="20"/>
          <w:szCs w:val="20"/>
          <w:lang w:eastAsia="en-US"/>
        </w:rPr>
        <w:t xml:space="preserve">. </w:t>
      </w:r>
    </w:p>
    <w:p w14:paraId="75619359" w14:textId="40511462" w:rsidR="000E6DF9" w:rsidRPr="00307F69" w:rsidRDefault="000E6DF9" w:rsidP="00307F6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6F42EDE2" w14:textId="6D9ED3E0" w:rsidR="00457BBC" w:rsidRDefault="00457BBC" w:rsidP="00457BBC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6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Pr="00457BBC">
        <w:rPr>
          <w:rFonts w:eastAsia="Malgun Gothic" w:cs="Times"/>
          <w:sz w:val="20"/>
          <w:szCs w:val="20"/>
          <w:lang w:eastAsia="en-US"/>
        </w:rPr>
        <w:t xml:space="preserve">A SBFD-aware UE does not expect a SBFD symbol to be configured as UL or DL symbol in TDD slot configuration via </w:t>
      </w:r>
      <w:r w:rsidRPr="00457BBC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proofErr w:type="spellStart"/>
      <w:r w:rsidRPr="00457BBC">
        <w:rPr>
          <w:rFonts w:eastAsia="Malgun Gothic" w:cs="Times"/>
          <w:i/>
          <w:iCs/>
          <w:sz w:val="20"/>
          <w:szCs w:val="20"/>
          <w:lang w:eastAsia="en-US"/>
        </w:rPr>
        <w:t>ConfigDedicated</w:t>
      </w:r>
      <w:proofErr w:type="spellEnd"/>
      <w:r>
        <w:rPr>
          <w:rFonts w:eastAsia="Malgun Gothic" w:cs="Times"/>
          <w:sz w:val="20"/>
          <w:szCs w:val="20"/>
          <w:lang w:eastAsia="en-US"/>
        </w:rPr>
        <w:t>.</w:t>
      </w:r>
    </w:p>
    <w:p w14:paraId="746A4866" w14:textId="77777777" w:rsidR="004F4ABE" w:rsidRDefault="004F4ABE" w:rsidP="00D71528">
      <w:pPr>
        <w:pStyle w:val="0Maintext"/>
        <w:spacing w:after="0" w:afterAutospacing="0" w:line="240" w:lineRule="auto"/>
        <w:ind w:firstLine="0"/>
      </w:pPr>
    </w:p>
    <w:p w14:paraId="319B6700" w14:textId="76EABB85" w:rsidR="007A1F9E" w:rsidRDefault="007A1F9E" w:rsidP="007A1F9E">
      <w:pPr>
        <w:pStyle w:val="Heading1"/>
      </w:pPr>
      <w:r>
        <w:lastRenderedPageBreak/>
        <w:t>Conclusion</w:t>
      </w:r>
    </w:p>
    <w:p w14:paraId="69D2C5F4" w14:textId="0E2B1362" w:rsidR="00314893" w:rsidRPr="00314893" w:rsidRDefault="00C5179C" w:rsidP="003148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</w:t>
      </w:r>
      <w:r w:rsidR="00B71E96">
        <w:t>provided</w:t>
      </w:r>
      <w:r>
        <w:t xml:space="preserve"> our views on </w:t>
      </w:r>
      <w:r w:rsidR="00B71E96">
        <w:t>remaining issues</w:t>
      </w:r>
      <w:r w:rsidR="00AA39D0">
        <w:t xml:space="preserve"> related to UE TX/RX/measurement procedures for SBFD operation at the </w:t>
      </w:r>
      <w:proofErr w:type="spellStart"/>
      <w:r w:rsidR="00AA39D0">
        <w:t>gNB</w:t>
      </w:r>
      <w:proofErr w:type="spellEnd"/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0AFA2BA9" w14:textId="77777777" w:rsidR="00B71E96" w:rsidRDefault="00B71E96" w:rsidP="00B71E96">
      <w:pPr>
        <w:jc w:val="both"/>
        <w:rPr>
          <w:sz w:val="20"/>
          <w:szCs w:val="20"/>
        </w:rPr>
      </w:pPr>
      <w:r w:rsidRPr="00545AC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45AC1">
        <w:rPr>
          <w:sz w:val="20"/>
          <w:szCs w:val="20"/>
        </w:rPr>
        <w:t xml:space="preserve">: a SBFD-aware UE </w:t>
      </w:r>
      <w:r>
        <w:rPr>
          <w:sz w:val="20"/>
          <w:szCs w:val="20"/>
        </w:rPr>
        <w:t>can exist subject to different</w:t>
      </w:r>
      <w:r w:rsidRPr="00545AC1">
        <w:rPr>
          <w:sz w:val="20"/>
          <w:szCs w:val="20"/>
        </w:rPr>
        <w:t xml:space="preserve"> UE capabilities</w:t>
      </w:r>
    </w:p>
    <w:p w14:paraId="3A69AA4B" w14:textId="77777777" w:rsidR="00B71E96" w:rsidRPr="002C52C0" w:rsidRDefault="00B71E96" w:rsidP="00B71E96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Cap1</w:t>
      </w:r>
      <w:r w:rsidRPr="002C52C0">
        <w:rPr>
          <w:rFonts w:ascii="Times New Roman" w:hAnsi="Times New Roman"/>
          <w:szCs w:val="20"/>
        </w:rPr>
        <w:t>: Support being scheduled in SBFD symbol in UL sub-band only</w:t>
      </w:r>
      <w:r>
        <w:rPr>
          <w:rFonts w:ascii="Times New Roman" w:hAnsi="Times New Roman"/>
          <w:szCs w:val="20"/>
        </w:rPr>
        <w:t xml:space="preserve"> </w:t>
      </w:r>
    </w:p>
    <w:p w14:paraId="02B6C60F" w14:textId="77777777" w:rsidR="00B71E96" w:rsidRPr="002C52C0" w:rsidRDefault="00B71E96" w:rsidP="00B71E96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Cap2</w:t>
      </w:r>
      <w:r w:rsidRPr="002C52C0">
        <w:rPr>
          <w:rFonts w:ascii="Times New Roman" w:hAnsi="Times New Roman"/>
          <w:szCs w:val="20"/>
        </w:rPr>
        <w:t xml:space="preserve">: Support being scheduled in SBFD symbol in UL sub-band </w:t>
      </w:r>
      <w:r>
        <w:rPr>
          <w:rFonts w:ascii="Times New Roman" w:hAnsi="Times New Roman"/>
          <w:szCs w:val="20"/>
        </w:rPr>
        <w:t>or</w:t>
      </w:r>
      <w:r w:rsidRPr="002C52C0">
        <w:rPr>
          <w:rFonts w:ascii="Times New Roman" w:hAnsi="Times New Roman"/>
          <w:szCs w:val="20"/>
        </w:rPr>
        <w:t xml:space="preserve"> in only one of the DL sub-bands</w:t>
      </w:r>
    </w:p>
    <w:p w14:paraId="38D8D383" w14:textId="77777777" w:rsidR="00B71E96" w:rsidRPr="002C52C0" w:rsidRDefault="00B71E96" w:rsidP="00B71E96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Cap3</w:t>
      </w:r>
      <w:r w:rsidRPr="002C52C0">
        <w:rPr>
          <w:rFonts w:ascii="Times New Roman" w:hAnsi="Times New Roman"/>
          <w:szCs w:val="20"/>
        </w:rPr>
        <w:t xml:space="preserve">: Support being scheduled in SBFD symbol in UL sub-band </w:t>
      </w:r>
      <w:r>
        <w:rPr>
          <w:rFonts w:ascii="Times New Roman" w:hAnsi="Times New Roman"/>
          <w:szCs w:val="20"/>
        </w:rPr>
        <w:t xml:space="preserve">or </w:t>
      </w:r>
      <w:r w:rsidRPr="002C52C0">
        <w:rPr>
          <w:rFonts w:ascii="Times New Roman" w:hAnsi="Times New Roman"/>
          <w:szCs w:val="20"/>
        </w:rPr>
        <w:t>across both DL sub-bands</w:t>
      </w:r>
    </w:p>
    <w:p w14:paraId="16902C4F" w14:textId="77777777" w:rsidR="00B71E96" w:rsidRDefault="00B71E96" w:rsidP="00B71E96">
      <w:pPr>
        <w:jc w:val="both"/>
        <w:rPr>
          <w:sz w:val="20"/>
          <w:szCs w:val="20"/>
        </w:rPr>
      </w:pPr>
    </w:p>
    <w:p w14:paraId="34009084" w14:textId="77777777" w:rsidR="00B71E96" w:rsidRPr="00B20761" w:rsidRDefault="00B71E96" w:rsidP="00B71E96">
      <w:pPr>
        <w:jc w:val="both"/>
        <w:rPr>
          <w:sz w:val="20"/>
          <w:szCs w:val="20"/>
        </w:rPr>
      </w:pPr>
      <w:r w:rsidRPr="00B2076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B20761">
        <w:rPr>
          <w:sz w:val="20"/>
          <w:szCs w:val="20"/>
        </w:rPr>
        <w:t>: For a SBFD-aware UE which can</w:t>
      </w:r>
      <w:r>
        <w:rPr>
          <w:sz w:val="20"/>
          <w:szCs w:val="20"/>
        </w:rPr>
        <w:t>not</w:t>
      </w:r>
      <w:r w:rsidRPr="00B20761">
        <w:rPr>
          <w:sz w:val="20"/>
          <w:szCs w:val="20"/>
        </w:rPr>
        <w:t xml:space="preserve"> receive </w:t>
      </w:r>
      <w:r>
        <w:rPr>
          <w:sz w:val="20"/>
          <w:szCs w:val="20"/>
        </w:rPr>
        <w:t xml:space="preserve">across both </w:t>
      </w:r>
      <w:r w:rsidRPr="00B20761">
        <w:rPr>
          <w:sz w:val="20"/>
          <w:szCs w:val="20"/>
        </w:rPr>
        <w:t xml:space="preserve">DL sub-bands in SBFD symbols, SBFD switching delay is defined as the </w:t>
      </w:r>
      <w:r>
        <w:rPr>
          <w:sz w:val="20"/>
          <w:szCs w:val="20"/>
        </w:rPr>
        <w:t xml:space="preserve">time </w:t>
      </w:r>
      <w:r w:rsidRPr="00B20761">
        <w:rPr>
          <w:sz w:val="20"/>
          <w:szCs w:val="20"/>
        </w:rPr>
        <w:t xml:space="preserve">offset between </w:t>
      </w:r>
      <w:r>
        <w:rPr>
          <w:sz w:val="20"/>
          <w:szCs w:val="20"/>
        </w:rPr>
        <w:t>s</w:t>
      </w:r>
      <w:r w:rsidRPr="00B20761">
        <w:rPr>
          <w:sz w:val="20"/>
          <w:szCs w:val="20"/>
        </w:rPr>
        <w:t>witch</w:t>
      </w:r>
      <w:r>
        <w:rPr>
          <w:sz w:val="20"/>
          <w:szCs w:val="20"/>
        </w:rPr>
        <w:t>ing</w:t>
      </w:r>
      <w:r w:rsidRPr="00B20761">
        <w:rPr>
          <w:sz w:val="20"/>
          <w:szCs w:val="20"/>
        </w:rPr>
        <w:t xml:space="preserve"> from non-SBFD symbols to SBFD symbols</w:t>
      </w:r>
      <w:r>
        <w:rPr>
          <w:sz w:val="20"/>
          <w:szCs w:val="20"/>
        </w:rPr>
        <w:t xml:space="preserve"> (and vice versa), or from one sub-band to another sub-band within SBFD symbols.</w:t>
      </w:r>
    </w:p>
    <w:p w14:paraId="0FF4A9A3" w14:textId="77777777" w:rsidR="00B71E96" w:rsidRDefault="00B71E96" w:rsidP="00B71E96">
      <w:pPr>
        <w:jc w:val="both"/>
        <w:rPr>
          <w:sz w:val="20"/>
          <w:szCs w:val="20"/>
        </w:rPr>
      </w:pPr>
    </w:p>
    <w:p w14:paraId="381C817F" w14:textId="77777777" w:rsidR="00B71E96" w:rsidRPr="001821C7" w:rsidRDefault="00B71E96" w:rsidP="00B71E96">
      <w:pPr>
        <w:jc w:val="both"/>
        <w:rPr>
          <w:sz w:val="20"/>
          <w:szCs w:val="20"/>
        </w:rPr>
      </w:pPr>
      <w:r w:rsidRPr="000C4FCE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3</w:t>
      </w:r>
      <w:r w:rsidRPr="000C4FCE">
        <w:rPr>
          <w:sz w:val="20"/>
          <w:szCs w:val="20"/>
        </w:rPr>
        <w:t xml:space="preserve">: UE indicates as part of UE capability signaling, the minimum required guard band between </w:t>
      </w:r>
      <w:r>
        <w:rPr>
          <w:sz w:val="20"/>
          <w:szCs w:val="20"/>
        </w:rPr>
        <w:t xml:space="preserve">UL and DL sub-bands, </w:t>
      </w:r>
      <w:r w:rsidRPr="000C4FCE">
        <w:rPr>
          <w:sz w:val="20"/>
          <w:szCs w:val="20"/>
        </w:rPr>
        <w:t xml:space="preserve">in the unit of frequency, </w:t>
      </w:r>
      <w:r>
        <w:rPr>
          <w:sz w:val="20"/>
          <w:szCs w:val="20"/>
        </w:rPr>
        <w:t xml:space="preserve">or </w:t>
      </w:r>
      <w:r w:rsidRPr="000C4FCE">
        <w:rPr>
          <w:sz w:val="20"/>
          <w:szCs w:val="20"/>
        </w:rPr>
        <w:t>number of PRBs for each tone spacing</w:t>
      </w:r>
      <w:r>
        <w:rPr>
          <w:sz w:val="20"/>
          <w:szCs w:val="20"/>
        </w:rPr>
        <w:t>.</w:t>
      </w:r>
    </w:p>
    <w:p w14:paraId="38A0B037" w14:textId="77777777" w:rsidR="00B71E96" w:rsidRDefault="00B71E96" w:rsidP="00B71E96">
      <w:pPr>
        <w:jc w:val="both"/>
        <w:rPr>
          <w:sz w:val="20"/>
          <w:szCs w:val="20"/>
        </w:rPr>
      </w:pPr>
    </w:p>
    <w:p w14:paraId="16DA2F53" w14:textId="5B327B61" w:rsidR="00B71E96" w:rsidRPr="00B71E96" w:rsidRDefault="00B71E96" w:rsidP="00B71E96">
      <w:pPr>
        <w:jc w:val="both"/>
        <w:rPr>
          <w:rFonts w:eastAsia="Malgun Gothic" w:cs="Times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4</w:t>
      </w:r>
      <w:r w:rsidRPr="00F44AF8">
        <w:rPr>
          <w:rFonts w:eastAsia="Malgun Gothic" w:cs="Times"/>
          <w:sz w:val="20"/>
          <w:szCs w:val="20"/>
          <w:lang w:eastAsia="en-US"/>
        </w:rPr>
        <w:t>: For a type-1 CG-PUSCH</w:t>
      </w:r>
      <w:r>
        <w:rPr>
          <w:rFonts w:eastAsia="Malgun Gothic" w:cs="Times"/>
          <w:sz w:val="20"/>
          <w:szCs w:val="20"/>
          <w:lang w:eastAsia="en-US"/>
        </w:rPr>
        <w:t xml:space="preserve"> and Configuration 2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, </w:t>
      </w:r>
      <w:proofErr w:type="spellStart"/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proofErr w:type="spellEnd"/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</w:t>
      </w:r>
      <w:r>
        <w:rPr>
          <w:rFonts w:eastAsia="Malgun Gothic" w:cs="Times"/>
          <w:sz w:val="20"/>
          <w:szCs w:val="20"/>
          <w:lang w:eastAsia="en-US"/>
        </w:rPr>
        <w:t>MCS</w:t>
      </w:r>
      <w:r w:rsidRPr="00F44AF8">
        <w:rPr>
          <w:rFonts w:eastAsia="Malgun Gothic" w:cs="Times"/>
          <w:sz w:val="20"/>
          <w:szCs w:val="20"/>
          <w:lang w:eastAsia="en-US"/>
        </w:rPr>
        <w:t>,</w:t>
      </w:r>
      <w:r>
        <w:rPr>
          <w:rFonts w:eastAsia="Malgun Gothic" w:cs="Times"/>
          <w:sz w:val="20"/>
          <w:szCs w:val="20"/>
          <w:lang w:eastAsia="en-US"/>
        </w:rPr>
        <w:t xml:space="preserve"> </w:t>
      </w:r>
      <w:r w:rsidRPr="00386D57">
        <w:rPr>
          <w:rFonts w:eastAsia="Malgun Gothic" w:cs="Times"/>
          <w:sz w:val="20"/>
          <w:szCs w:val="20"/>
          <w:lang w:val="en-GB" w:eastAsia="en-US"/>
        </w:rPr>
        <w:t>(</w:t>
      </w:r>
      <w:proofErr w:type="spellStart"/>
      <w:r w:rsidRPr="00386D57">
        <w:rPr>
          <w:rFonts w:eastAsia="Malgun Gothic" w:cs="Times"/>
          <w:sz w:val="20"/>
          <w:szCs w:val="20"/>
          <w:lang w:val="en-GB" w:eastAsia="en-US"/>
        </w:rPr>
        <w:t>mcsAndTBS</w:t>
      </w:r>
      <w:proofErr w:type="spellEnd"/>
      <w:r w:rsidRPr="00386D57">
        <w:rPr>
          <w:rFonts w:eastAsia="Malgun Gothic" w:cs="Times"/>
          <w:sz w:val="20"/>
          <w:szCs w:val="20"/>
          <w:lang w:val="en-GB" w:eastAsia="en-US"/>
        </w:rPr>
        <w:t xml:space="preserve">, </w:t>
      </w:r>
      <w:r w:rsidRPr="00386D57">
        <w:rPr>
          <w:rFonts w:eastAsia="Malgun Gothic" w:cs="Times"/>
          <w:b/>
          <w:bCs/>
          <w:sz w:val="20"/>
          <w:szCs w:val="20"/>
          <w:lang w:val="en-GB" w:eastAsia="en-US"/>
        </w:rPr>
        <w:t>mcsAndTBS2</w:t>
      </w:r>
      <w:r w:rsidRPr="00386D57">
        <w:rPr>
          <w:rFonts w:eastAsia="Malgun Gothic" w:cs="Times"/>
          <w:sz w:val="20"/>
          <w:szCs w:val="20"/>
          <w:lang w:val="en-GB" w:eastAsia="en-US"/>
        </w:rPr>
        <w:t>)</w:t>
      </w:r>
      <w:r>
        <w:rPr>
          <w:rFonts w:eastAsia="Malgun Gothic" w:cs="Times"/>
          <w:sz w:val="20"/>
          <w:szCs w:val="20"/>
          <w:lang w:eastAsia="en-US"/>
        </w:rPr>
        <w:t xml:space="preserve"> </w:t>
      </w:r>
      <w:r w:rsidRPr="00F44AF8">
        <w:rPr>
          <w:rFonts w:eastAsia="Malgun Gothic" w:cs="Times"/>
          <w:sz w:val="20"/>
          <w:szCs w:val="20"/>
          <w:lang w:eastAsia="en-US"/>
        </w:rPr>
        <w:t>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slot.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4B5634E8" w14:textId="77777777" w:rsidR="00B71E96" w:rsidRDefault="00B71E96" w:rsidP="00B71E96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45387322" w14:textId="77777777" w:rsidR="00B71E96" w:rsidRDefault="00B71E96" w:rsidP="00B71E96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>
        <w:rPr>
          <w:rFonts w:eastAsia="Malgun Gothic" w:cs="Times"/>
          <w:sz w:val="20"/>
          <w:szCs w:val="20"/>
          <w:lang w:eastAsia="en-US"/>
        </w:rPr>
        <w:t xml:space="preserve">Configuration 2 and </w:t>
      </w:r>
      <w:r>
        <w:rPr>
          <w:rFonts w:eastAsia="Malgun Gothic" w:cs="Times"/>
          <w:sz w:val="20"/>
          <w:szCs w:val="20"/>
          <w:lang w:val="en-GB" w:eastAsia="en-US"/>
        </w:rPr>
        <w:t xml:space="preserve">type-2 CG PUSCH or SPS-PDSCH, or multi-grant PUSCH/PDSCH, 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DCI </w:t>
      </w:r>
      <w:r>
        <w:rPr>
          <w:rFonts w:eastAsia="Malgun Gothic" w:cs="Times"/>
          <w:sz w:val="20"/>
          <w:szCs w:val="20"/>
          <w:lang w:eastAsia="en-US"/>
        </w:rPr>
        <w:t>indicates a MCS which is applied to non-SBFD occasions, while a RRC configured offset to the MCS indicated by DCI is applied to SBFD occasions.</w:t>
      </w:r>
    </w:p>
    <w:p w14:paraId="6D88C134" w14:textId="77777777" w:rsidR="00B71E96" w:rsidRPr="00307F69" w:rsidRDefault="00B71E96" w:rsidP="00B71E96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3268EA7E" w14:textId="77777777" w:rsidR="00B71E96" w:rsidRDefault="00B71E96" w:rsidP="00B71E96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6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Pr="00457BBC">
        <w:rPr>
          <w:rFonts w:eastAsia="Malgun Gothic" w:cs="Times"/>
          <w:sz w:val="20"/>
          <w:szCs w:val="20"/>
          <w:lang w:eastAsia="en-US"/>
        </w:rPr>
        <w:t xml:space="preserve">A SBFD-aware UE does not expect a SBFD symbol to be configured as UL or DL symbol in TDD slot configuration via </w:t>
      </w:r>
      <w:r w:rsidRPr="00457BBC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proofErr w:type="spellStart"/>
      <w:r w:rsidRPr="00457BBC">
        <w:rPr>
          <w:rFonts w:eastAsia="Malgun Gothic" w:cs="Times"/>
          <w:i/>
          <w:iCs/>
          <w:sz w:val="20"/>
          <w:szCs w:val="20"/>
          <w:lang w:eastAsia="en-US"/>
        </w:rPr>
        <w:t>ConfigDedicated</w:t>
      </w:r>
      <w:proofErr w:type="spellEnd"/>
      <w:r>
        <w:rPr>
          <w:rFonts w:eastAsia="Malgun Gothic" w:cs="Times"/>
          <w:sz w:val="20"/>
          <w:szCs w:val="20"/>
          <w:lang w:eastAsia="en-US"/>
        </w:rPr>
        <w:t>.</w:t>
      </w:r>
    </w:p>
    <w:p w14:paraId="7381A79E" w14:textId="6F9BFCB2" w:rsidR="00B24932" w:rsidRPr="00B25728" w:rsidRDefault="00B24932" w:rsidP="00F169A9">
      <w:pPr>
        <w:jc w:val="both"/>
        <w:rPr>
          <w:rFonts w:eastAsia="Malgun Gothic" w:cs="Times"/>
          <w:color w:val="000000" w:themeColor="text1"/>
        </w:rPr>
      </w:pPr>
    </w:p>
    <w:sectPr w:rsidR="00B24932" w:rsidRPr="00B25728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B1DC0"/>
    <w:multiLevelType w:val="hybridMultilevel"/>
    <w:tmpl w:val="28F6F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F51291A"/>
    <w:multiLevelType w:val="hybridMultilevel"/>
    <w:tmpl w:val="1F4E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2023CD"/>
    <w:multiLevelType w:val="hybridMultilevel"/>
    <w:tmpl w:val="4C7E1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457D1A81"/>
    <w:multiLevelType w:val="hybridMultilevel"/>
    <w:tmpl w:val="E6AC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FA338B"/>
    <w:multiLevelType w:val="hybridMultilevel"/>
    <w:tmpl w:val="B8D8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1D473F"/>
    <w:multiLevelType w:val="hybridMultilevel"/>
    <w:tmpl w:val="B95A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9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31"/>
  </w:num>
  <w:num w:numId="5" w16cid:durableId="559053736">
    <w:abstractNumId w:val="17"/>
  </w:num>
  <w:num w:numId="6" w16cid:durableId="1855418263">
    <w:abstractNumId w:val="4"/>
  </w:num>
  <w:num w:numId="7" w16cid:durableId="1158962368">
    <w:abstractNumId w:val="7"/>
  </w:num>
  <w:num w:numId="8" w16cid:durableId="124978665">
    <w:abstractNumId w:val="55"/>
  </w:num>
  <w:num w:numId="9" w16cid:durableId="1560631235">
    <w:abstractNumId w:val="4"/>
  </w:num>
  <w:num w:numId="10" w16cid:durableId="1957518174">
    <w:abstractNumId w:val="54"/>
  </w:num>
  <w:num w:numId="11" w16cid:durableId="148325099">
    <w:abstractNumId w:val="65"/>
  </w:num>
  <w:num w:numId="12" w16cid:durableId="1367829081">
    <w:abstractNumId w:val="4"/>
  </w:num>
  <w:num w:numId="13" w16cid:durableId="1458793434">
    <w:abstractNumId w:val="42"/>
  </w:num>
  <w:num w:numId="14" w16cid:durableId="112099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9"/>
  </w:num>
  <w:num w:numId="18" w16cid:durableId="2113550967">
    <w:abstractNumId w:val="26"/>
  </w:num>
  <w:num w:numId="19" w16cid:durableId="1755737952">
    <w:abstractNumId w:val="11"/>
  </w:num>
  <w:num w:numId="20" w16cid:durableId="700521599">
    <w:abstractNumId w:val="53"/>
  </w:num>
  <w:num w:numId="21" w16cid:durableId="2035374549">
    <w:abstractNumId w:val="12"/>
  </w:num>
  <w:num w:numId="22" w16cid:durableId="1385983104">
    <w:abstractNumId w:val="41"/>
  </w:num>
  <w:num w:numId="23" w16cid:durableId="2111394000">
    <w:abstractNumId w:val="10"/>
  </w:num>
  <w:num w:numId="24" w16cid:durableId="904952020">
    <w:abstractNumId w:val="35"/>
  </w:num>
  <w:num w:numId="25" w16cid:durableId="228393210">
    <w:abstractNumId w:val="25"/>
  </w:num>
  <w:num w:numId="26" w16cid:durableId="1508012121">
    <w:abstractNumId w:val="51"/>
  </w:num>
  <w:num w:numId="27" w16cid:durableId="1100099850">
    <w:abstractNumId w:val="2"/>
  </w:num>
  <w:num w:numId="28" w16cid:durableId="1474060407">
    <w:abstractNumId w:val="56"/>
  </w:num>
  <w:num w:numId="29" w16cid:durableId="557320135">
    <w:abstractNumId w:val="68"/>
  </w:num>
  <w:num w:numId="30" w16cid:durableId="774524779">
    <w:abstractNumId w:val="63"/>
  </w:num>
  <w:num w:numId="31" w16cid:durableId="1303388064">
    <w:abstractNumId w:val="5"/>
  </w:num>
  <w:num w:numId="32" w16cid:durableId="2106264989">
    <w:abstractNumId w:val="64"/>
  </w:num>
  <w:num w:numId="33" w16cid:durableId="14965687">
    <w:abstractNumId w:val="61"/>
  </w:num>
  <w:num w:numId="34" w16cid:durableId="792139529">
    <w:abstractNumId w:val="13"/>
  </w:num>
  <w:num w:numId="35" w16cid:durableId="1352029675">
    <w:abstractNumId w:val="49"/>
  </w:num>
  <w:num w:numId="36" w16cid:durableId="107086666">
    <w:abstractNumId w:val="57"/>
  </w:num>
  <w:num w:numId="37" w16cid:durableId="674117945">
    <w:abstractNumId w:val="3"/>
  </w:num>
  <w:num w:numId="38" w16cid:durableId="1174614123">
    <w:abstractNumId w:val="30"/>
  </w:num>
  <w:num w:numId="39" w16cid:durableId="1518932891">
    <w:abstractNumId w:val="66"/>
  </w:num>
  <w:num w:numId="40" w16cid:durableId="872035900">
    <w:abstractNumId w:val="34"/>
  </w:num>
  <w:num w:numId="41" w16cid:durableId="162280276">
    <w:abstractNumId w:val="50"/>
  </w:num>
  <w:num w:numId="42" w16cid:durableId="1006978005">
    <w:abstractNumId w:val="40"/>
  </w:num>
  <w:num w:numId="43" w16cid:durableId="850683596">
    <w:abstractNumId w:val="52"/>
  </w:num>
  <w:num w:numId="44" w16cid:durableId="1574855330">
    <w:abstractNumId w:val="24"/>
  </w:num>
  <w:num w:numId="45" w16cid:durableId="926378158">
    <w:abstractNumId w:val="32"/>
  </w:num>
  <w:num w:numId="46" w16cid:durableId="151455293">
    <w:abstractNumId w:val="46"/>
  </w:num>
  <w:num w:numId="47" w16cid:durableId="2069767649">
    <w:abstractNumId w:val="33"/>
  </w:num>
  <w:num w:numId="48" w16cid:durableId="1842501920">
    <w:abstractNumId w:val="67"/>
  </w:num>
  <w:num w:numId="49" w16cid:durableId="2089956544">
    <w:abstractNumId w:val="47"/>
  </w:num>
  <w:num w:numId="50" w16cid:durableId="1315060145">
    <w:abstractNumId w:val="37"/>
  </w:num>
  <w:num w:numId="51" w16cid:durableId="60906419">
    <w:abstractNumId w:val="4"/>
  </w:num>
  <w:num w:numId="52" w16cid:durableId="374741205">
    <w:abstractNumId w:val="45"/>
  </w:num>
  <w:num w:numId="53" w16cid:durableId="1467966988">
    <w:abstractNumId w:val="21"/>
  </w:num>
  <w:num w:numId="54" w16cid:durableId="1495141653">
    <w:abstractNumId w:val="15"/>
  </w:num>
  <w:num w:numId="55" w16cid:durableId="1407605488">
    <w:abstractNumId w:val="62"/>
  </w:num>
  <w:num w:numId="56" w16cid:durableId="1330599530">
    <w:abstractNumId w:val="44"/>
  </w:num>
  <w:num w:numId="57" w16cid:durableId="683167472">
    <w:abstractNumId w:val="18"/>
  </w:num>
  <w:num w:numId="58" w16cid:durableId="1119567867">
    <w:abstractNumId w:val="43"/>
  </w:num>
  <w:num w:numId="59" w16cid:durableId="1875731002">
    <w:abstractNumId w:val="8"/>
  </w:num>
  <w:num w:numId="60" w16cid:durableId="411700953">
    <w:abstractNumId w:val="48"/>
  </w:num>
  <w:num w:numId="61" w16cid:durableId="799154510">
    <w:abstractNumId w:val="60"/>
  </w:num>
  <w:num w:numId="62" w16cid:durableId="1079059975">
    <w:abstractNumId w:val="20"/>
  </w:num>
  <w:num w:numId="63" w16cid:durableId="441073471">
    <w:abstractNumId w:val="27"/>
  </w:num>
  <w:num w:numId="64" w16cid:durableId="93018602">
    <w:abstractNumId w:val="58"/>
  </w:num>
  <w:num w:numId="65" w16cid:durableId="1214923569">
    <w:abstractNumId w:val="16"/>
  </w:num>
  <w:num w:numId="66" w16cid:durableId="844711198">
    <w:abstractNumId w:val="29"/>
  </w:num>
  <w:num w:numId="67" w16cid:durableId="454830078">
    <w:abstractNumId w:val="23"/>
  </w:num>
  <w:num w:numId="68" w16cid:durableId="744105772">
    <w:abstractNumId w:val="39"/>
  </w:num>
  <w:num w:numId="69" w16cid:durableId="908878454">
    <w:abstractNumId w:val="6"/>
  </w:num>
  <w:num w:numId="70" w16cid:durableId="1574001924">
    <w:abstractNumId w:val="22"/>
  </w:num>
  <w:num w:numId="71" w16cid:durableId="1355154960">
    <w:abstractNumId w:val="28"/>
  </w:num>
  <w:num w:numId="72" w16cid:durableId="63335649">
    <w:abstractNumId w:val="38"/>
  </w:num>
  <w:num w:numId="73" w16cid:durableId="1104572041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2DC9"/>
    <w:rsid w:val="00034625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425"/>
    <w:rsid w:val="00071AFF"/>
    <w:rsid w:val="00073B49"/>
    <w:rsid w:val="0007405E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11D9"/>
    <w:rsid w:val="000B5338"/>
    <w:rsid w:val="000B562F"/>
    <w:rsid w:val="000C20D6"/>
    <w:rsid w:val="000C302B"/>
    <w:rsid w:val="000C4FCE"/>
    <w:rsid w:val="000C7006"/>
    <w:rsid w:val="000D0F78"/>
    <w:rsid w:val="000D18B6"/>
    <w:rsid w:val="000D2660"/>
    <w:rsid w:val="000D4A1A"/>
    <w:rsid w:val="000D54C9"/>
    <w:rsid w:val="000E0049"/>
    <w:rsid w:val="000E2519"/>
    <w:rsid w:val="000E65B1"/>
    <w:rsid w:val="000E6DF9"/>
    <w:rsid w:val="000F0300"/>
    <w:rsid w:val="000F0792"/>
    <w:rsid w:val="000F1E47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6C8E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3B56"/>
    <w:rsid w:val="00155F81"/>
    <w:rsid w:val="0016072B"/>
    <w:rsid w:val="00161E92"/>
    <w:rsid w:val="00162C20"/>
    <w:rsid w:val="001655D0"/>
    <w:rsid w:val="00167B10"/>
    <w:rsid w:val="0017048D"/>
    <w:rsid w:val="0017290F"/>
    <w:rsid w:val="00174012"/>
    <w:rsid w:val="0017558E"/>
    <w:rsid w:val="0017731D"/>
    <w:rsid w:val="00181F11"/>
    <w:rsid w:val="0018214E"/>
    <w:rsid w:val="001821C7"/>
    <w:rsid w:val="00185A0B"/>
    <w:rsid w:val="0018607A"/>
    <w:rsid w:val="00186802"/>
    <w:rsid w:val="00193222"/>
    <w:rsid w:val="00194BBD"/>
    <w:rsid w:val="0019597B"/>
    <w:rsid w:val="001970D3"/>
    <w:rsid w:val="001A2BC0"/>
    <w:rsid w:val="001A4FA2"/>
    <w:rsid w:val="001A5A42"/>
    <w:rsid w:val="001A5F2D"/>
    <w:rsid w:val="001B0BC6"/>
    <w:rsid w:val="001B19B2"/>
    <w:rsid w:val="001B3F28"/>
    <w:rsid w:val="001B4E23"/>
    <w:rsid w:val="001B7BEC"/>
    <w:rsid w:val="001C23D4"/>
    <w:rsid w:val="001C311A"/>
    <w:rsid w:val="001C330A"/>
    <w:rsid w:val="001C3B9C"/>
    <w:rsid w:val="001C3DE0"/>
    <w:rsid w:val="001C4241"/>
    <w:rsid w:val="001C53C6"/>
    <w:rsid w:val="001C71ED"/>
    <w:rsid w:val="001C7399"/>
    <w:rsid w:val="001D117E"/>
    <w:rsid w:val="001D4036"/>
    <w:rsid w:val="001D4551"/>
    <w:rsid w:val="001D57AE"/>
    <w:rsid w:val="001D5F61"/>
    <w:rsid w:val="001D6F74"/>
    <w:rsid w:val="001D73FF"/>
    <w:rsid w:val="001E08D5"/>
    <w:rsid w:val="001E62A2"/>
    <w:rsid w:val="001E6F84"/>
    <w:rsid w:val="001E73AB"/>
    <w:rsid w:val="001F1442"/>
    <w:rsid w:val="001F1EA3"/>
    <w:rsid w:val="001F726D"/>
    <w:rsid w:val="001F75C5"/>
    <w:rsid w:val="00203A0D"/>
    <w:rsid w:val="00203EB5"/>
    <w:rsid w:val="00205FF8"/>
    <w:rsid w:val="00206EE5"/>
    <w:rsid w:val="00210F83"/>
    <w:rsid w:val="002134C9"/>
    <w:rsid w:val="00213F4E"/>
    <w:rsid w:val="00215CAC"/>
    <w:rsid w:val="0022064E"/>
    <w:rsid w:val="002217F5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0FC8"/>
    <w:rsid w:val="002626E1"/>
    <w:rsid w:val="00263926"/>
    <w:rsid w:val="00263DBA"/>
    <w:rsid w:val="00265CA3"/>
    <w:rsid w:val="00266E0F"/>
    <w:rsid w:val="002672E4"/>
    <w:rsid w:val="00270C5A"/>
    <w:rsid w:val="0027181A"/>
    <w:rsid w:val="00272006"/>
    <w:rsid w:val="00273766"/>
    <w:rsid w:val="00274F27"/>
    <w:rsid w:val="00280726"/>
    <w:rsid w:val="002814E7"/>
    <w:rsid w:val="00281804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3C99"/>
    <w:rsid w:val="002A45C8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65F"/>
    <w:rsid w:val="002C4EFD"/>
    <w:rsid w:val="002C52C0"/>
    <w:rsid w:val="002C7880"/>
    <w:rsid w:val="002C796C"/>
    <w:rsid w:val="002D4B22"/>
    <w:rsid w:val="002D6F69"/>
    <w:rsid w:val="002E0F7B"/>
    <w:rsid w:val="002E2806"/>
    <w:rsid w:val="002E2E49"/>
    <w:rsid w:val="002E3020"/>
    <w:rsid w:val="002E337E"/>
    <w:rsid w:val="002E5153"/>
    <w:rsid w:val="002E520C"/>
    <w:rsid w:val="002E73A1"/>
    <w:rsid w:val="002E7D5F"/>
    <w:rsid w:val="002F2194"/>
    <w:rsid w:val="002F2304"/>
    <w:rsid w:val="002F3060"/>
    <w:rsid w:val="002F45F1"/>
    <w:rsid w:val="002F62D2"/>
    <w:rsid w:val="00300829"/>
    <w:rsid w:val="00301356"/>
    <w:rsid w:val="0030554A"/>
    <w:rsid w:val="00306493"/>
    <w:rsid w:val="00307F69"/>
    <w:rsid w:val="003105DC"/>
    <w:rsid w:val="00310843"/>
    <w:rsid w:val="00310912"/>
    <w:rsid w:val="00311CE0"/>
    <w:rsid w:val="0031378A"/>
    <w:rsid w:val="00314893"/>
    <w:rsid w:val="00315F36"/>
    <w:rsid w:val="00320EE1"/>
    <w:rsid w:val="00322AFC"/>
    <w:rsid w:val="00323FC8"/>
    <w:rsid w:val="00325BF3"/>
    <w:rsid w:val="003262D0"/>
    <w:rsid w:val="00326AED"/>
    <w:rsid w:val="003277F3"/>
    <w:rsid w:val="003316B9"/>
    <w:rsid w:val="0033242B"/>
    <w:rsid w:val="00336BA8"/>
    <w:rsid w:val="00337482"/>
    <w:rsid w:val="003416D7"/>
    <w:rsid w:val="0034417B"/>
    <w:rsid w:val="003443F4"/>
    <w:rsid w:val="00344AE3"/>
    <w:rsid w:val="00351207"/>
    <w:rsid w:val="0035243D"/>
    <w:rsid w:val="00354CD9"/>
    <w:rsid w:val="00356B5F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55C5"/>
    <w:rsid w:val="003771E8"/>
    <w:rsid w:val="003802E1"/>
    <w:rsid w:val="003830C6"/>
    <w:rsid w:val="0038526E"/>
    <w:rsid w:val="003856A5"/>
    <w:rsid w:val="003856D0"/>
    <w:rsid w:val="00386D57"/>
    <w:rsid w:val="00387D7F"/>
    <w:rsid w:val="00387EB0"/>
    <w:rsid w:val="00391289"/>
    <w:rsid w:val="00391636"/>
    <w:rsid w:val="003944D1"/>
    <w:rsid w:val="003944FC"/>
    <w:rsid w:val="00395B12"/>
    <w:rsid w:val="00396B63"/>
    <w:rsid w:val="003A0C0A"/>
    <w:rsid w:val="003A42FB"/>
    <w:rsid w:val="003A5491"/>
    <w:rsid w:val="003B0123"/>
    <w:rsid w:val="003B187F"/>
    <w:rsid w:val="003B2608"/>
    <w:rsid w:val="003B620C"/>
    <w:rsid w:val="003B6AB3"/>
    <w:rsid w:val="003C1DCB"/>
    <w:rsid w:val="003C398C"/>
    <w:rsid w:val="003C41D2"/>
    <w:rsid w:val="003C49B0"/>
    <w:rsid w:val="003C68E4"/>
    <w:rsid w:val="003C7475"/>
    <w:rsid w:val="003C74B7"/>
    <w:rsid w:val="003D041F"/>
    <w:rsid w:val="003D0609"/>
    <w:rsid w:val="003D1F65"/>
    <w:rsid w:val="003D2055"/>
    <w:rsid w:val="003D5067"/>
    <w:rsid w:val="003D51F2"/>
    <w:rsid w:val="003D57C8"/>
    <w:rsid w:val="003D61CF"/>
    <w:rsid w:val="003D7B48"/>
    <w:rsid w:val="003E0060"/>
    <w:rsid w:val="003E0B46"/>
    <w:rsid w:val="003E0DED"/>
    <w:rsid w:val="003E3ED3"/>
    <w:rsid w:val="003E66DF"/>
    <w:rsid w:val="003E75B6"/>
    <w:rsid w:val="003F275B"/>
    <w:rsid w:val="003F77C7"/>
    <w:rsid w:val="00402638"/>
    <w:rsid w:val="00405092"/>
    <w:rsid w:val="00406F8B"/>
    <w:rsid w:val="004076CF"/>
    <w:rsid w:val="0041336F"/>
    <w:rsid w:val="00414973"/>
    <w:rsid w:val="0041645E"/>
    <w:rsid w:val="00417FC9"/>
    <w:rsid w:val="00422564"/>
    <w:rsid w:val="004229B4"/>
    <w:rsid w:val="004312F7"/>
    <w:rsid w:val="004314BC"/>
    <w:rsid w:val="004346AB"/>
    <w:rsid w:val="00434E5C"/>
    <w:rsid w:val="004371C8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4B60"/>
    <w:rsid w:val="0045511A"/>
    <w:rsid w:val="00457BBC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4DBA"/>
    <w:rsid w:val="004752EB"/>
    <w:rsid w:val="00480E2E"/>
    <w:rsid w:val="004837C5"/>
    <w:rsid w:val="00485EDE"/>
    <w:rsid w:val="004909A1"/>
    <w:rsid w:val="00497D3E"/>
    <w:rsid w:val="004A1F65"/>
    <w:rsid w:val="004A2991"/>
    <w:rsid w:val="004A2C2D"/>
    <w:rsid w:val="004A41EF"/>
    <w:rsid w:val="004A5D6B"/>
    <w:rsid w:val="004A7A1A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1E80"/>
    <w:rsid w:val="004C3746"/>
    <w:rsid w:val="004C4A14"/>
    <w:rsid w:val="004C6667"/>
    <w:rsid w:val="004C6ABA"/>
    <w:rsid w:val="004C7036"/>
    <w:rsid w:val="004C75F4"/>
    <w:rsid w:val="004D387F"/>
    <w:rsid w:val="004D40C5"/>
    <w:rsid w:val="004D5A47"/>
    <w:rsid w:val="004E01AD"/>
    <w:rsid w:val="004E093D"/>
    <w:rsid w:val="004E20BC"/>
    <w:rsid w:val="004E2C9C"/>
    <w:rsid w:val="004E531C"/>
    <w:rsid w:val="004E6D4D"/>
    <w:rsid w:val="004F3614"/>
    <w:rsid w:val="004F4ABE"/>
    <w:rsid w:val="00500DE7"/>
    <w:rsid w:val="00502505"/>
    <w:rsid w:val="00504941"/>
    <w:rsid w:val="0050600B"/>
    <w:rsid w:val="005062CA"/>
    <w:rsid w:val="005070A9"/>
    <w:rsid w:val="005071B1"/>
    <w:rsid w:val="00510C62"/>
    <w:rsid w:val="00511856"/>
    <w:rsid w:val="00514031"/>
    <w:rsid w:val="005166ED"/>
    <w:rsid w:val="00517ADD"/>
    <w:rsid w:val="00520081"/>
    <w:rsid w:val="00521183"/>
    <w:rsid w:val="00523D91"/>
    <w:rsid w:val="0052593A"/>
    <w:rsid w:val="00526C5F"/>
    <w:rsid w:val="005327E9"/>
    <w:rsid w:val="00532BAF"/>
    <w:rsid w:val="00536F7C"/>
    <w:rsid w:val="00537253"/>
    <w:rsid w:val="0053782C"/>
    <w:rsid w:val="00537D1F"/>
    <w:rsid w:val="005400CC"/>
    <w:rsid w:val="00540863"/>
    <w:rsid w:val="00543C04"/>
    <w:rsid w:val="00545AC1"/>
    <w:rsid w:val="0054777E"/>
    <w:rsid w:val="00550E3B"/>
    <w:rsid w:val="0055574E"/>
    <w:rsid w:val="00556671"/>
    <w:rsid w:val="00556911"/>
    <w:rsid w:val="00561D69"/>
    <w:rsid w:val="00562D2B"/>
    <w:rsid w:val="005713D2"/>
    <w:rsid w:val="00574720"/>
    <w:rsid w:val="00574DF3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566"/>
    <w:rsid w:val="0059787C"/>
    <w:rsid w:val="005A2058"/>
    <w:rsid w:val="005A4B77"/>
    <w:rsid w:val="005A5EEA"/>
    <w:rsid w:val="005B0F7A"/>
    <w:rsid w:val="005B1AD1"/>
    <w:rsid w:val="005B604C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460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DA9"/>
    <w:rsid w:val="00602E99"/>
    <w:rsid w:val="006048DC"/>
    <w:rsid w:val="006049AA"/>
    <w:rsid w:val="00604C3D"/>
    <w:rsid w:val="0061243D"/>
    <w:rsid w:val="0061371A"/>
    <w:rsid w:val="0061765C"/>
    <w:rsid w:val="00620C29"/>
    <w:rsid w:val="00621A74"/>
    <w:rsid w:val="00622552"/>
    <w:rsid w:val="00624E1C"/>
    <w:rsid w:val="006262DF"/>
    <w:rsid w:val="00626534"/>
    <w:rsid w:val="00631A14"/>
    <w:rsid w:val="00632067"/>
    <w:rsid w:val="00632803"/>
    <w:rsid w:val="006337E5"/>
    <w:rsid w:val="00634AF5"/>
    <w:rsid w:val="00634B61"/>
    <w:rsid w:val="006358E7"/>
    <w:rsid w:val="00636D7B"/>
    <w:rsid w:val="00641951"/>
    <w:rsid w:val="0064204C"/>
    <w:rsid w:val="00643600"/>
    <w:rsid w:val="00644CE4"/>
    <w:rsid w:val="00645994"/>
    <w:rsid w:val="00647F7D"/>
    <w:rsid w:val="00650026"/>
    <w:rsid w:val="00652261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0B2E"/>
    <w:rsid w:val="00672A3E"/>
    <w:rsid w:val="00674468"/>
    <w:rsid w:val="00680BCA"/>
    <w:rsid w:val="00681E80"/>
    <w:rsid w:val="006823E7"/>
    <w:rsid w:val="006824B2"/>
    <w:rsid w:val="00682EED"/>
    <w:rsid w:val="0068752E"/>
    <w:rsid w:val="00687A78"/>
    <w:rsid w:val="006943CF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1A07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4DF0"/>
    <w:rsid w:val="00707829"/>
    <w:rsid w:val="0071051D"/>
    <w:rsid w:val="0071089C"/>
    <w:rsid w:val="0071576D"/>
    <w:rsid w:val="00720BE8"/>
    <w:rsid w:val="00720EBF"/>
    <w:rsid w:val="007236E0"/>
    <w:rsid w:val="00724642"/>
    <w:rsid w:val="0072495E"/>
    <w:rsid w:val="00732388"/>
    <w:rsid w:val="0073426D"/>
    <w:rsid w:val="0073585C"/>
    <w:rsid w:val="00736797"/>
    <w:rsid w:val="0074411E"/>
    <w:rsid w:val="00744E6D"/>
    <w:rsid w:val="00745F20"/>
    <w:rsid w:val="007500FE"/>
    <w:rsid w:val="00751E2A"/>
    <w:rsid w:val="00753D11"/>
    <w:rsid w:val="00754F02"/>
    <w:rsid w:val="0075517A"/>
    <w:rsid w:val="00756783"/>
    <w:rsid w:val="00756810"/>
    <w:rsid w:val="007570AB"/>
    <w:rsid w:val="0076075D"/>
    <w:rsid w:val="00760CBD"/>
    <w:rsid w:val="00762663"/>
    <w:rsid w:val="00765C83"/>
    <w:rsid w:val="00765ED9"/>
    <w:rsid w:val="00767A07"/>
    <w:rsid w:val="00770366"/>
    <w:rsid w:val="00770AA4"/>
    <w:rsid w:val="007720DD"/>
    <w:rsid w:val="007727CB"/>
    <w:rsid w:val="007740EF"/>
    <w:rsid w:val="0077638F"/>
    <w:rsid w:val="0077773B"/>
    <w:rsid w:val="00777EAA"/>
    <w:rsid w:val="0078114E"/>
    <w:rsid w:val="007A1F9E"/>
    <w:rsid w:val="007A41E3"/>
    <w:rsid w:val="007A537A"/>
    <w:rsid w:val="007A73FB"/>
    <w:rsid w:val="007B2267"/>
    <w:rsid w:val="007B273D"/>
    <w:rsid w:val="007B5221"/>
    <w:rsid w:val="007C3E37"/>
    <w:rsid w:val="007D45F9"/>
    <w:rsid w:val="007D7CC8"/>
    <w:rsid w:val="007D7F00"/>
    <w:rsid w:val="007E03DA"/>
    <w:rsid w:val="007E2553"/>
    <w:rsid w:val="007E3054"/>
    <w:rsid w:val="007E3921"/>
    <w:rsid w:val="007E4A87"/>
    <w:rsid w:val="007E54EF"/>
    <w:rsid w:val="007E554B"/>
    <w:rsid w:val="007E5BE2"/>
    <w:rsid w:val="007E64E7"/>
    <w:rsid w:val="007E6583"/>
    <w:rsid w:val="007E6FF6"/>
    <w:rsid w:val="007E7B7B"/>
    <w:rsid w:val="007F128C"/>
    <w:rsid w:val="007F4737"/>
    <w:rsid w:val="00800CD7"/>
    <w:rsid w:val="00800FF6"/>
    <w:rsid w:val="00802205"/>
    <w:rsid w:val="00805B0F"/>
    <w:rsid w:val="00805F89"/>
    <w:rsid w:val="0081070A"/>
    <w:rsid w:val="00813EBD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4D7A"/>
    <w:rsid w:val="008251EA"/>
    <w:rsid w:val="00830BA2"/>
    <w:rsid w:val="008331B0"/>
    <w:rsid w:val="00834862"/>
    <w:rsid w:val="00836817"/>
    <w:rsid w:val="00837B1F"/>
    <w:rsid w:val="008410E3"/>
    <w:rsid w:val="00841C2B"/>
    <w:rsid w:val="00842350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742BF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6CFE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B463F"/>
    <w:rsid w:val="008C009A"/>
    <w:rsid w:val="008C1150"/>
    <w:rsid w:val="008C11A0"/>
    <w:rsid w:val="008C2187"/>
    <w:rsid w:val="008C3DF0"/>
    <w:rsid w:val="008C4747"/>
    <w:rsid w:val="008C4D3E"/>
    <w:rsid w:val="008C50FC"/>
    <w:rsid w:val="008D05F8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8F614E"/>
    <w:rsid w:val="009000C4"/>
    <w:rsid w:val="00901D2D"/>
    <w:rsid w:val="00903328"/>
    <w:rsid w:val="00906E5E"/>
    <w:rsid w:val="00911E05"/>
    <w:rsid w:val="00911EFA"/>
    <w:rsid w:val="00914979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37DD5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29E6"/>
    <w:rsid w:val="00973A25"/>
    <w:rsid w:val="009744A8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C56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D74EF"/>
    <w:rsid w:val="009E0E57"/>
    <w:rsid w:val="009E16AA"/>
    <w:rsid w:val="009E2F96"/>
    <w:rsid w:val="009F04BB"/>
    <w:rsid w:val="009F227D"/>
    <w:rsid w:val="009F58CE"/>
    <w:rsid w:val="009F61D0"/>
    <w:rsid w:val="009F7201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294"/>
    <w:rsid w:val="00A20F2F"/>
    <w:rsid w:val="00A30089"/>
    <w:rsid w:val="00A30F00"/>
    <w:rsid w:val="00A31852"/>
    <w:rsid w:val="00A31FCD"/>
    <w:rsid w:val="00A327E8"/>
    <w:rsid w:val="00A3286E"/>
    <w:rsid w:val="00A352F0"/>
    <w:rsid w:val="00A40114"/>
    <w:rsid w:val="00A41EE3"/>
    <w:rsid w:val="00A42B01"/>
    <w:rsid w:val="00A440B9"/>
    <w:rsid w:val="00A466DA"/>
    <w:rsid w:val="00A46C64"/>
    <w:rsid w:val="00A52500"/>
    <w:rsid w:val="00A53D85"/>
    <w:rsid w:val="00A60EAB"/>
    <w:rsid w:val="00A67DF6"/>
    <w:rsid w:val="00A73F87"/>
    <w:rsid w:val="00A75EFF"/>
    <w:rsid w:val="00A805B9"/>
    <w:rsid w:val="00A80DF8"/>
    <w:rsid w:val="00A81738"/>
    <w:rsid w:val="00A8354A"/>
    <w:rsid w:val="00A86777"/>
    <w:rsid w:val="00A87E3E"/>
    <w:rsid w:val="00A90AB8"/>
    <w:rsid w:val="00A9213A"/>
    <w:rsid w:val="00A92450"/>
    <w:rsid w:val="00A93DEE"/>
    <w:rsid w:val="00A94416"/>
    <w:rsid w:val="00A95A78"/>
    <w:rsid w:val="00A963F4"/>
    <w:rsid w:val="00AA2084"/>
    <w:rsid w:val="00AA39D0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D0D08"/>
    <w:rsid w:val="00AD0FCC"/>
    <w:rsid w:val="00AD172E"/>
    <w:rsid w:val="00AD1997"/>
    <w:rsid w:val="00AD6C4E"/>
    <w:rsid w:val="00AD7FF0"/>
    <w:rsid w:val="00AE0162"/>
    <w:rsid w:val="00AE0234"/>
    <w:rsid w:val="00AE28BA"/>
    <w:rsid w:val="00AE338C"/>
    <w:rsid w:val="00AE4313"/>
    <w:rsid w:val="00AF04C4"/>
    <w:rsid w:val="00AF0E18"/>
    <w:rsid w:val="00AF1286"/>
    <w:rsid w:val="00AF13FC"/>
    <w:rsid w:val="00AF2265"/>
    <w:rsid w:val="00AF67CE"/>
    <w:rsid w:val="00AF7DC9"/>
    <w:rsid w:val="00B0084D"/>
    <w:rsid w:val="00B03184"/>
    <w:rsid w:val="00B058BB"/>
    <w:rsid w:val="00B05BB5"/>
    <w:rsid w:val="00B0669A"/>
    <w:rsid w:val="00B06EFF"/>
    <w:rsid w:val="00B0708A"/>
    <w:rsid w:val="00B07537"/>
    <w:rsid w:val="00B0790D"/>
    <w:rsid w:val="00B12FE5"/>
    <w:rsid w:val="00B14B6B"/>
    <w:rsid w:val="00B1523B"/>
    <w:rsid w:val="00B15B61"/>
    <w:rsid w:val="00B1752F"/>
    <w:rsid w:val="00B20761"/>
    <w:rsid w:val="00B20D1E"/>
    <w:rsid w:val="00B21867"/>
    <w:rsid w:val="00B2306C"/>
    <w:rsid w:val="00B23EB7"/>
    <w:rsid w:val="00B24932"/>
    <w:rsid w:val="00B25728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23C7"/>
    <w:rsid w:val="00B63683"/>
    <w:rsid w:val="00B63C76"/>
    <w:rsid w:val="00B658E6"/>
    <w:rsid w:val="00B67EFB"/>
    <w:rsid w:val="00B71E1B"/>
    <w:rsid w:val="00B71E96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3C72"/>
    <w:rsid w:val="00BA55EF"/>
    <w:rsid w:val="00BA77E7"/>
    <w:rsid w:val="00BB2711"/>
    <w:rsid w:val="00BB277F"/>
    <w:rsid w:val="00BB4DF6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689"/>
    <w:rsid w:val="00BE2B6D"/>
    <w:rsid w:val="00BE3C3F"/>
    <w:rsid w:val="00BE3F2D"/>
    <w:rsid w:val="00BE7BD0"/>
    <w:rsid w:val="00BF1589"/>
    <w:rsid w:val="00BF198A"/>
    <w:rsid w:val="00BF1DF3"/>
    <w:rsid w:val="00BF487F"/>
    <w:rsid w:val="00BF6DEF"/>
    <w:rsid w:val="00C0753A"/>
    <w:rsid w:val="00C07E44"/>
    <w:rsid w:val="00C20B5B"/>
    <w:rsid w:val="00C20E65"/>
    <w:rsid w:val="00C2111A"/>
    <w:rsid w:val="00C21B9D"/>
    <w:rsid w:val="00C2319A"/>
    <w:rsid w:val="00C24DFE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6792"/>
    <w:rsid w:val="00CC7F53"/>
    <w:rsid w:val="00CD01ED"/>
    <w:rsid w:val="00CD18F2"/>
    <w:rsid w:val="00CD27DB"/>
    <w:rsid w:val="00CD69FA"/>
    <w:rsid w:val="00CE171E"/>
    <w:rsid w:val="00CE1A40"/>
    <w:rsid w:val="00CE2EA5"/>
    <w:rsid w:val="00CE3243"/>
    <w:rsid w:val="00CE563C"/>
    <w:rsid w:val="00CE6A45"/>
    <w:rsid w:val="00CE7503"/>
    <w:rsid w:val="00CF0CA0"/>
    <w:rsid w:val="00CF1E92"/>
    <w:rsid w:val="00CF4C3A"/>
    <w:rsid w:val="00CF74A7"/>
    <w:rsid w:val="00D000EB"/>
    <w:rsid w:val="00D04A53"/>
    <w:rsid w:val="00D059E0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1EFD"/>
    <w:rsid w:val="00D3259B"/>
    <w:rsid w:val="00D337CA"/>
    <w:rsid w:val="00D3737E"/>
    <w:rsid w:val="00D37FA3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71528"/>
    <w:rsid w:val="00D814FE"/>
    <w:rsid w:val="00D826DD"/>
    <w:rsid w:val="00D82BE1"/>
    <w:rsid w:val="00D82D4A"/>
    <w:rsid w:val="00D83D3F"/>
    <w:rsid w:val="00D84C50"/>
    <w:rsid w:val="00D85393"/>
    <w:rsid w:val="00D867FD"/>
    <w:rsid w:val="00D900CE"/>
    <w:rsid w:val="00D9083F"/>
    <w:rsid w:val="00D90AED"/>
    <w:rsid w:val="00D92B3F"/>
    <w:rsid w:val="00D96824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0F8B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695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25F3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826"/>
    <w:rsid w:val="00EA606F"/>
    <w:rsid w:val="00EA62B5"/>
    <w:rsid w:val="00EA6F69"/>
    <w:rsid w:val="00EA73C1"/>
    <w:rsid w:val="00EB1215"/>
    <w:rsid w:val="00EB20ED"/>
    <w:rsid w:val="00EB57DE"/>
    <w:rsid w:val="00EC0DB3"/>
    <w:rsid w:val="00EC0F55"/>
    <w:rsid w:val="00EC1E25"/>
    <w:rsid w:val="00EC2A35"/>
    <w:rsid w:val="00EC34BC"/>
    <w:rsid w:val="00EC42C0"/>
    <w:rsid w:val="00EC43D0"/>
    <w:rsid w:val="00EC62F6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03E1"/>
    <w:rsid w:val="00F1315F"/>
    <w:rsid w:val="00F159F9"/>
    <w:rsid w:val="00F15AE1"/>
    <w:rsid w:val="00F169A9"/>
    <w:rsid w:val="00F17D02"/>
    <w:rsid w:val="00F2068C"/>
    <w:rsid w:val="00F24869"/>
    <w:rsid w:val="00F25A12"/>
    <w:rsid w:val="00F302FE"/>
    <w:rsid w:val="00F334C8"/>
    <w:rsid w:val="00F37734"/>
    <w:rsid w:val="00F37A14"/>
    <w:rsid w:val="00F41729"/>
    <w:rsid w:val="00F419A6"/>
    <w:rsid w:val="00F4281B"/>
    <w:rsid w:val="00F42A90"/>
    <w:rsid w:val="00F43CD1"/>
    <w:rsid w:val="00F44AF8"/>
    <w:rsid w:val="00F4652D"/>
    <w:rsid w:val="00F47BC0"/>
    <w:rsid w:val="00F52ED3"/>
    <w:rsid w:val="00F54525"/>
    <w:rsid w:val="00F578BB"/>
    <w:rsid w:val="00F62F5D"/>
    <w:rsid w:val="00F651FB"/>
    <w:rsid w:val="00F66AC9"/>
    <w:rsid w:val="00F707F1"/>
    <w:rsid w:val="00F7117B"/>
    <w:rsid w:val="00F7124C"/>
    <w:rsid w:val="00F72493"/>
    <w:rsid w:val="00F763E7"/>
    <w:rsid w:val="00F76BAE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3F5"/>
    <w:rsid w:val="00FD7ED6"/>
    <w:rsid w:val="00FE0A18"/>
    <w:rsid w:val="00FE1F8E"/>
    <w:rsid w:val="00FE2969"/>
    <w:rsid w:val="00FE3326"/>
    <w:rsid w:val="00FE3FF0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76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2">
    <w:name w:val="列出段落2"/>
    <w:basedOn w:val="Normal"/>
    <w:link w:val="a"/>
    <w:uiPriority w:val="34"/>
    <w:qFormat/>
    <w:rsid w:val="00805F89"/>
    <w:pPr>
      <w:suppressAutoHyphens/>
      <w:spacing w:after="50"/>
      <w:ind w:left="840"/>
    </w:pPr>
    <w:rPr>
      <w:rFonts w:ascii="Cambria" w:eastAsia="SimHei" w:hAnsi="Cambria" w:cs="SimSun"/>
      <w:sz w:val="20"/>
      <w:szCs w:val="20"/>
      <w:lang w:eastAsia="en-US"/>
    </w:rPr>
  </w:style>
  <w:style w:type="character" w:customStyle="1" w:styleId="a">
    <w:name w:val="列出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2"/>
    <w:uiPriority w:val="34"/>
    <w:qFormat/>
    <w:rsid w:val="00805F89"/>
    <w:rPr>
      <w:rFonts w:ascii="Cambria" w:eastAsia="SimHei" w:hAnsi="Cambria" w:cs="SimSun"/>
      <w:sz w:val="20"/>
      <w:szCs w:val="20"/>
      <w:lang w:eastAsia="en-US"/>
    </w:rPr>
  </w:style>
  <w:style w:type="paragraph" w:customStyle="1" w:styleId="TdocHeading1">
    <w:name w:val="Tdoc_Heading_1"/>
    <w:basedOn w:val="Heading1"/>
    <w:next w:val="BodyText"/>
    <w:autoRedefine/>
    <w:uiPriority w:val="99"/>
    <w:rsid w:val="004C75F4"/>
    <w:pPr>
      <w:keepNext w:val="0"/>
      <w:keepLines w:val="0"/>
      <w:widowControl w:val="0"/>
      <w:numPr>
        <w:numId w:val="67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ascii="Arial" w:eastAsia="SimSun" w:hAnsi="Arial"/>
      <w:b/>
      <w:noProof/>
      <w:kern w:val="28"/>
      <w:sz w:val="24"/>
      <w:szCs w:val="20"/>
      <w:lang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C7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C75F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2989</TotalTime>
  <Pages>4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476</cp:revision>
  <dcterms:created xsi:type="dcterms:W3CDTF">2022-04-11T01:34:00Z</dcterms:created>
  <dcterms:modified xsi:type="dcterms:W3CDTF">2025-02-06T06:14:00Z</dcterms:modified>
</cp:coreProperties>
</file>